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A1" w:rsidRPr="00BC7A1C" w:rsidRDefault="00BC7A1C" w:rsidP="00224551">
      <w:pPr>
        <w:pBdr>
          <w:bottom w:val="single" w:sz="4" w:space="1" w:color="auto"/>
        </w:pBdr>
        <w:spacing w:after="0"/>
        <w:jc w:val="right"/>
        <w:rPr>
          <w:rFonts w:cs="Calibri"/>
          <w:b/>
          <w:color w:val="F79646" w:themeColor="accent6"/>
          <w:lang w:eastAsia="es-GT"/>
        </w:rPr>
      </w:pPr>
      <w:r w:rsidRPr="00BC7A1C">
        <w:rPr>
          <w:rFonts w:cs="Calibri"/>
          <w:b/>
          <w:color w:val="F79646" w:themeColor="accent6"/>
          <w:lang w:eastAsia="es-GT"/>
        </w:rPr>
        <w:t>Enviar al mundo lo mejor de Guatemala, traer a Guatemala lo mejor del mundo</w:t>
      </w:r>
    </w:p>
    <w:p w:rsidR="00C91BA1" w:rsidRDefault="00C91BA1" w:rsidP="00224551">
      <w:pPr>
        <w:spacing w:after="0"/>
        <w:jc w:val="right"/>
        <w:rPr>
          <w:rFonts w:cs="Calibri"/>
          <w:lang w:eastAsia="es-GT"/>
        </w:rPr>
      </w:pPr>
      <w:r w:rsidRPr="009271EB">
        <w:rPr>
          <w:rFonts w:cs="Calibri"/>
          <w:lang w:eastAsia="es-GT"/>
        </w:rPr>
        <w:t>0</w:t>
      </w:r>
      <w:r w:rsidR="00BC7A1C">
        <w:rPr>
          <w:rFonts w:cs="Calibri"/>
          <w:lang w:eastAsia="es-GT"/>
        </w:rPr>
        <w:t>2</w:t>
      </w:r>
      <w:r w:rsidRPr="009271EB">
        <w:rPr>
          <w:rFonts w:cs="Calibri"/>
          <w:lang w:eastAsia="es-GT"/>
        </w:rPr>
        <w:t>-201</w:t>
      </w:r>
      <w:r w:rsidR="00BC7A1C">
        <w:rPr>
          <w:rFonts w:cs="Calibri"/>
          <w:lang w:eastAsia="es-GT"/>
        </w:rPr>
        <w:t>3</w:t>
      </w:r>
    </w:p>
    <w:p w:rsidR="00730960" w:rsidRDefault="00C9686A" w:rsidP="00120E5C">
      <w:pPr>
        <w:spacing w:after="0" w:line="240" w:lineRule="auto"/>
        <w:jc w:val="center"/>
        <w:rPr>
          <w:rFonts w:cs="Calibri"/>
          <w:b/>
          <w:sz w:val="32"/>
          <w:szCs w:val="32"/>
          <w:lang w:eastAsia="es-GT"/>
        </w:rPr>
      </w:pPr>
      <w:r w:rsidRPr="00EA7DC7">
        <w:rPr>
          <w:rFonts w:cs="Calibri"/>
          <w:b/>
          <w:sz w:val="32"/>
          <w:szCs w:val="32"/>
          <w:lang w:eastAsia="es-GT"/>
        </w:rPr>
        <w:t xml:space="preserve">TREINTA Y </w:t>
      </w:r>
      <w:r>
        <w:rPr>
          <w:rFonts w:cs="Calibri"/>
          <w:b/>
          <w:sz w:val="32"/>
          <w:szCs w:val="32"/>
          <w:lang w:eastAsia="es-GT"/>
        </w:rPr>
        <w:t>SEIS</w:t>
      </w:r>
      <w:r w:rsidRPr="00EA7DC7">
        <w:rPr>
          <w:rFonts w:cs="Calibri"/>
          <w:b/>
          <w:sz w:val="32"/>
          <w:szCs w:val="32"/>
          <w:lang w:eastAsia="es-GT"/>
        </w:rPr>
        <w:t xml:space="preserve"> NUEVOS PROFESIONALES </w:t>
      </w:r>
    </w:p>
    <w:p w:rsidR="00C91BA1" w:rsidRPr="00EA7DC7" w:rsidRDefault="00C9686A" w:rsidP="00120E5C">
      <w:pPr>
        <w:spacing w:after="0" w:line="240" w:lineRule="auto"/>
        <w:jc w:val="center"/>
        <w:rPr>
          <w:rFonts w:cs="Calibri"/>
          <w:b/>
          <w:sz w:val="32"/>
          <w:szCs w:val="32"/>
          <w:lang w:eastAsia="es-GT"/>
        </w:rPr>
      </w:pPr>
      <w:r w:rsidRPr="00EA7DC7">
        <w:rPr>
          <w:rFonts w:cs="Calibri"/>
          <w:b/>
          <w:sz w:val="32"/>
          <w:szCs w:val="32"/>
          <w:lang w:eastAsia="es-GT"/>
        </w:rPr>
        <w:t>SE UNEN AL TALENTO DE GUATEFUTURO</w:t>
      </w:r>
    </w:p>
    <w:p w:rsidR="00C91BA1" w:rsidRPr="00D4572F" w:rsidRDefault="00C91BA1" w:rsidP="002D26CF">
      <w:pPr>
        <w:spacing w:after="0"/>
        <w:jc w:val="center"/>
        <w:rPr>
          <w:rFonts w:cs="Calibri"/>
        </w:rPr>
      </w:pPr>
    </w:p>
    <w:p w:rsidR="00C91BA1" w:rsidRPr="00F733E8" w:rsidRDefault="009271EB" w:rsidP="0073096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Calibri"/>
          <w:b/>
          <w:i/>
        </w:rPr>
      </w:pPr>
      <w:r w:rsidRPr="00F733E8">
        <w:rPr>
          <w:rFonts w:cs="Calibri"/>
          <w:b/>
          <w:i/>
        </w:rPr>
        <w:t xml:space="preserve">Suman </w:t>
      </w:r>
      <w:r w:rsidR="00702CFB" w:rsidRPr="00F733E8">
        <w:rPr>
          <w:rFonts w:cs="Calibri"/>
          <w:b/>
          <w:i/>
        </w:rPr>
        <w:t>113</w:t>
      </w:r>
      <w:r w:rsidRPr="00F733E8">
        <w:rPr>
          <w:rFonts w:cs="Calibri"/>
          <w:b/>
          <w:i/>
        </w:rPr>
        <w:t xml:space="preserve"> los</w:t>
      </w:r>
      <w:r w:rsidR="00C91BA1" w:rsidRPr="00F733E8">
        <w:rPr>
          <w:rFonts w:cs="Calibri"/>
          <w:b/>
          <w:i/>
        </w:rPr>
        <w:t xml:space="preserve"> guatemaltecos </w:t>
      </w:r>
      <w:r w:rsidRPr="00F733E8">
        <w:rPr>
          <w:rFonts w:cs="Calibri"/>
          <w:b/>
          <w:i/>
        </w:rPr>
        <w:t xml:space="preserve">que </w:t>
      </w:r>
      <w:r w:rsidR="00C91BA1" w:rsidRPr="00F733E8">
        <w:rPr>
          <w:rFonts w:cs="Calibri"/>
          <w:b/>
          <w:i/>
        </w:rPr>
        <w:t xml:space="preserve">han recibido </w:t>
      </w:r>
      <w:r w:rsidR="00D51D64" w:rsidRPr="00F733E8">
        <w:rPr>
          <w:rFonts w:cs="Calibri"/>
          <w:b/>
          <w:i/>
        </w:rPr>
        <w:t>becas</w:t>
      </w:r>
      <w:r w:rsidR="00EA7DC7" w:rsidRPr="00F733E8">
        <w:rPr>
          <w:rFonts w:cs="Calibri"/>
          <w:b/>
          <w:i/>
        </w:rPr>
        <w:t xml:space="preserve"> desde el 2008 </w:t>
      </w:r>
      <w:r w:rsidR="00C91BA1" w:rsidRPr="00F733E8">
        <w:rPr>
          <w:rFonts w:cs="Calibri"/>
          <w:b/>
          <w:i/>
        </w:rPr>
        <w:t xml:space="preserve"> </w:t>
      </w:r>
      <w:r w:rsidRPr="00F733E8">
        <w:rPr>
          <w:rFonts w:cs="Calibri"/>
          <w:b/>
          <w:i/>
        </w:rPr>
        <w:t xml:space="preserve">para </w:t>
      </w:r>
      <w:r w:rsidR="00BC7A1C" w:rsidRPr="00F733E8">
        <w:rPr>
          <w:rFonts w:cs="Calibri"/>
          <w:b/>
          <w:i/>
        </w:rPr>
        <w:t>estudiar</w:t>
      </w:r>
      <w:r w:rsidRPr="00F733E8">
        <w:rPr>
          <w:rFonts w:cs="Calibri"/>
          <w:b/>
          <w:i/>
        </w:rPr>
        <w:t xml:space="preserve"> en las mejores universidades del mundo</w:t>
      </w:r>
    </w:p>
    <w:p w:rsidR="00D51D64" w:rsidRPr="00F733E8" w:rsidRDefault="00D51D64" w:rsidP="00730960">
      <w:pPr>
        <w:spacing w:after="0" w:line="240" w:lineRule="auto"/>
        <w:jc w:val="both"/>
        <w:rPr>
          <w:rFonts w:cs="Calibri"/>
          <w:b/>
        </w:rPr>
      </w:pPr>
    </w:p>
    <w:p w:rsidR="00C91BA1" w:rsidRPr="00F733E8" w:rsidRDefault="00C91BA1" w:rsidP="00730960">
      <w:pPr>
        <w:pStyle w:val="Sinespaciado"/>
        <w:jc w:val="both"/>
        <w:rPr>
          <w:rFonts w:cs="Calibri"/>
        </w:rPr>
      </w:pPr>
      <w:r w:rsidRPr="00F733E8">
        <w:rPr>
          <w:rFonts w:cs="Calibri"/>
          <w:b/>
        </w:rPr>
        <w:t xml:space="preserve">Guatemala, </w:t>
      </w:r>
      <w:r w:rsidR="00BC7A1C" w:rsidRPr="00F733E8">
        <w:rPr>
          <w:rFonts w:cs="Calibri"/>
          <w:b/>
        </w:rPr>
        <w:t>30</w:t>
      </w:r>
      <w:r w:rsidRPr="00F733E8">
        <w:rPr>
          <w:rFonts w:cs="Calibri"/>
          <w:b/>
        </w:rPr>
        <w:t xml:space="preserve"> de </w:t>
      </w:r>
      <w:r w:rsidR="00BC7A1C" w:rsidRPr="00F733E8">
        <w:rPr>
          <w:rFonts w:cs="Calibri"/>
          <w:b/>
        </w:rPr>
        <w:t>julio</w:t>
      </w:r>
      <w:r w:rsidR="009F33BC" w:rsidRPr="00F733E8">
        <w:rPr>
          <w:rFonts w:cs="Calibri"/>
          <w:b/>
        </w:rPr>
        <w:t xml:space="preserve"> </w:t>
      </w:r>
      <w:r w:rsidRPr="00F733E8">
        <w:rPr>
          <w:rFonts w:cs="Calibri"/>
          <w:b/>
        </w:rPr>
        <w:t>201</w:t>
      </w:r>
      <w:r w:rsidR="00BC7A1C" w:rsidRPr="00F733E8">
        <w:rPr>
          <w:rFonts w:cs="Calibri"/>
          <w:b/>
        </w:rPr>
        <w:t>3</w:t>
      </w:r>
      <w:r w:rsidRPr="00F733E8">
        <w:rPr>
          <w:rFonts w:cs="Calibri"/>
          <w:b/>
        </w:rPr>
        <w:t>.</w:t>
      </w:r>
      <w:r w:rsidRPr="00F733E8">
        <w:rPr>
          <w:rFonts w:cs="Calibri"/>
        </w:rPr>
        <w:t xml:space="preserve"> </w:t>
      </w:r>
      <w:r w:rsidR="00C952D8" w:rsidRPr="00F733E8">
        <w:rPr>
          <w:rFonts w:cs="Calibri"/>
        </w:rPr>
        <w:t>Un total de 3</w:t>
      </w:r>
      <w:r w:rsidR="00702CFB" w:rsidRPr="00F733E8">
        <w:rPr>
          <w:rFonts w:cs="Calibri"/>
        </w:rPr>
        <w:t>6</w:t>
      </w:r>
      <w:r w:rsidRPr="00F733E8">
        <w:rPr>
          <w:rFonts w:cs="Calibri"/>
        </w:rPr>
        <w:t xml:space="preserve"> profesionales guatemaltecos de excelencia académica </w:t>
      </w:r>
      <w:r w:rsidR="00C952D8" w:rsidRPr="00F733E8">
        <w:rPr>
          <w:rFonts w:cs="Calibri"/>
        </w:rPr>
        <w:t>se incorpora</w:t>
      </w:r>
      <w:r w:rsidR="00EA7DC7" w:rsidRPr="00F733E8">
        <w:rPr>
          <w:rFonts w:cs="Calibri"/>
        </w:rPr>
        <w:t>n</w:t>
      </w:r>
      <w:r w:rsidR="002947AE" w:rsidRPr="00F733E8">
        <w:rPr>
          <w:rFonts w:cs="Calibri"/>
        </w:rPr>
        <w:t xml:space="preserve"> en 201</w:t>
      </w:r>
      <w:r w:rsidR="00BC7A1C" w:rsidRPr="00F733E8">
        <w:rPr>
          <w:rFonts w:cs="Calibri"/>
        </w:rPr>
        <w:t>3</w:t>
      </w:r>
      <w:r w:rsidR="00C952D8" w:rsidRPr="00F733E8">
        <w:rPr>
          <w:rFonts w:cs="Calibri"/>
        </w:rPr>
        <w:t xml:space="preserve"> al Programa de Crédito-beca de Fundación Guatefuturo para </w:t>
      </w:r>
      <w:r w:rsidRPr="00F733E8">
        <w:rPr>
          <w:rFonts w:cs="Calibri"/>
        </w:rPr>
        <w:t xml:space="preserve">estudiar </w:t>
      </w:r>
      <w:r w:rsidR="00BC7A1C" w:rsidRPr="00F733E8">
        <w:rPr>
          <w:rFonts w:cs="Calibri"/>
        </w:rPr>
        <w:t>maestría</w:t>
      </w:r>
      <w:r w:rsidR="00F733E8">
        <w:rPr>
          <w:rFonts w:cs="Calibri"/>
        </w:rPr>
        <w:t>s</w:t>
      </w:r>
      <w:r w:rsidR="00BC7A1C" w:rsidRPr="00F733E8">
        <w:rPr>
          <w:rFonts w:cs="Calibri"/>
        </w:rPr>
        <w:t xml:space="preserve"> y doctorados</w:t>
      </w:r>
      <w:r w:rsidRPr="00F733E8">
        <w:rPr>
          <w:rFonts w:cs="Calibri"/>
        </w:rPr>
        <w:t xml:space="preserve"> </w:t>
      </w:r>
      <w:r w:rsidR="00C952D8" w:rsidRPr="00F733E8">
        <w:rPr>
          <w:rFonts w:cs="Calibri"/>
        </w:rPr>
        <w:t>en</w:t>
      </w:r>
      <w:r w:rsidRPr="00F733E8">
        <w:rPr>
          <w:rFonts w:cs="Calibri"/>
        </w:rPr>
        <w:t xml:space="preserve"> las mejores universidades del mundo</w:t>
      </w:r>
      <w:r w:rsidR="00A11ABA" w:rsidRPr="00F733E8">
        <w:rPr>
          <w:rFonts w:cs="Calibri"/>
        </w:rPr>
        <w:t>, con el objetivo de retornar a trabajar por Guatemala</w:t>
      </w:r>
      <w:r w:rsidRPr="00F733E8">
        <w:rPr>
          <w:rFonts w:cs="Calibri"/>
        </w:rPr>
        <w:t xml:space="preserve">.    </w:t>
      </w:r>
    </w:p>
    <w:p w:rsidR="002947AE" w:rsidRPr="00F733E8" w:rsidRDefault="002947AE" w:rsidP="00730960">
      <w:pPr>
        <w:pStyle w:val="Sinespaciado"/>
        <w:jc w:val="both"/>
        <w:rPr>
          <w:rFonts w:cs="Calibri"/>
        </w:rPr>
      </w:pPr>
    </w:p>
    <w:p w:rsidR="006D72DE" w:rsidRPr="00F733E8" w:rsidRDefault="00EA7DC7" w:rsidP="00730960">
      <w:pPr>
        <w:pStyle w:val="Sinespaciado"/>
        <w:jc w:val="both"/>
        <w:rPr>
          <w:rFonts w:cs="Calibri"/>
        </w:rPr>
      </w:pPr>
      <w:r w:rsidRPr="00F733E8">
        <w:rPr>
          <w:rFonts w:cs="Calibri"/>
        </w:rPr>
        <w:t xml:space="preserve">De las </w:t>
      </w:r>
      <w:r w:rsidR="00BC7A1C" w:rsidRPr="00F733E8">
        <w:rPr>
          <w:rFonts w:cs="Calibri"/>
        </w:rPr>
        <w:t>79</w:t>
      </w:r>
      <w:r w:rsidR="00607A03" w:rsidRPr="00F733E8">
        <w:rPr>
          <w:rFonts w:cs="Calibri"/>
        </w:rPr>
        <w:t xml:space="preserve"> solic</w:t>
      </w:r>
      <w:r w:rsidR="00F34040" w:rsidRPr="00F733E8">
        <w:rPr>
          <w:rFonts w:cs="Calibri"/>
        </w:rPr>
        <w:t xml:space="preserve">itudes </w:t>
      </w:r>
      <w:r w:rsidRPr="00F733E8">
        <w:rPr>
          <w:rFonts w:cs="Calibri"/>
        </w:rPr>
        <w:t xml:space="preserve">recibidas, </w:t>
      </w:r>
      <w:r w:rsidR="00F34040" w:rsidRPr="00F733E8">
        <w:rPr>
          <w:rFonts w:cs="Calibri"/>
        </w:rPr>
        <w:t xml:space="preserve"> fueron seleccionados </w:t>
      </w:r>
      <w:r w:rsidR="00702CFB" w:rsidRPr="00F733E8">
        <w:rPr>
          <w:rFonts w:cs="Calibri"/>
        </w:rPr>
        <w:t>36</w:t>
      </w:r>
      <w:r w:rsidRPr="00F733E8">
        <w:rPr>
          <w:rFonts w:cs="Calibri"/>
        </w:rPr>
        <w:t xml:space="preserve"> </w:t>
      </w:r>
      <w:r w:rsidR="00E218FE" w:rsidRPr="00F733E8">
        <w:rPr>
          <w:rFonts w:cs="Calibri"/>
        </w:rPr>
        <w:t>profesionales</w:t>
      </w:r>
      <w:r w:rsidRPr="00F733E8">
        <w:rPr>
          <w:rFonts w:cs="Calibri"/>
        </w:rPr>
        <w:t>,</w:t>
      </w:r>
      <w:r w:rsidR="00607A03" w:rsidRPr="00F733E8">
        <w:rPr>
          <w:rFonts w:cs="Calibri"/>
        </w:rPr>
        <w:t xml:space="preserve"> cuatro veces más que cuando Guatefuturo inició su </w:t>
      </w:r>
      <w:r w:rsidR="00607A03" w:rsidRPr="00F733E8">
        <w:rPr>
          <w:rFonts w:cs="Calibri"/>
          <w:color w:val="000000"/>
        </w:rPr>
        <w:t xml:space="preserve">apoyo al proceso de </w:t>
      </w:r>
      <w:r w:rsidR="002E703A" w:rsidRPr="00F733E8">
        <w:rPr>
          <w:rFonts w:cs="Calibri"/>
          <w:color w:val="000000"/>
        </w:rPr>
        <w:t>internacionalización de la educación del país</w:t>
      </w:r>
      <w:r w:rsidR="00F733E8">
        <w:rPr>
          <w:rFonts w:cs="Calibri"/>
          <w:color w:val="000000"/>
        </w:rPr>
        <w:t xml:space="preserve"> en 2008</w:t>
      </w:r>
      <w:r w:rsidR="00B11E45" w:rsidRPr="00F733E8">
        <w:rPr>
          <w:rFonts w:cs="Calibri"/>
          <w:color w:val="000000"/>
        </w:rPr>
        <w:t>, momento en el que se enviaron</w:t>
      </w:r>
      <w:r w:rsidR="002E703A" w:rsidRPr="00F733E8">
        <w:rPr>
          <w:rFonts w:cs="Calibri"/>
          <w:color w:val="000000"/>
        </w:rPr>
        <w:t xml:space="preserve"> </w:t>
      </w:r>
      <w:r w:rsidR="00607A03" w:rsidRPr="00F733E8">
        <w:rPr>
          <w:rFonts w:cs="Calibri"/>
        </w:rPr>
        <w:t xml:space="preserve">nueve </w:t>
      </w:r>
      <w:r w:rsidR="002E703A" w:rsidRPr="00F733E8">
        <w:rPr>
          <w:rFonts w:cs="Calibri"/>
        </w:rPr>
        <w:t xml:space="preserve">beneficiarios. </w:t>
      </w:r>
      <w:r w:rsidRPr="00F733E8">
        <w:rPr>
          <w:rFonts w:cs="Calibri"/>
        </w:rPr>
        <w:t>Con est</w:t>
      </w:r>
      <w:r w:rsidR="00F733E8">
        <w:rPr>
          <w:rFonts w:cs="Calibri"/>
        </w:rPr>
        <w:t>a</w:t>
      </w:r>
      <w:r w:rsidRPr="00F733E8">
        <w:rPr>
          <w:rFonts w:cs="Calibri"/>
        </w:rPr>
        <w:t xml:space="preserve"> </w:t>
      </w:r>
      <w:r w:rsidR="00F733E8">
        <w:rPr>
          <w:rFonts w:cs="Calibri"/>
        </w:rPr>
        <w:t>cifra</w:t>
      </w:r>
      <w:r w:rsidRPr="00F733E8">
        <w:rPr>
          <w:rFonts w:cs="Calibri"/>
        </w:rPr>
        <w:t xml:space="preserve"> </w:t>
      </w:r>
      <w:r w:rsidR="002A2C7A" w:rsidRPr="00F733E8">
        <w:rPr>
          <w:rFonts w:cs="Calibri"/>
        </w:rPr>
        <w:t xml:space="preserve">se incrementó a </w:t>
      </w:r>
      <w:r w:rsidR="00702CFB" w:rsidRPr="00F733E8">
        <w:rPr>
          <w:rFonts w:cs="Calibri"/>
        </w:rPr>
        <w:t>113</w:t>
      </w:r>
      <w:r w:rsidR="002A2C7A" w:rsidRPr="00F733E8">
        <w:rPr>
          <w:rFonts w:cs="Calibri"/>
        </w:rPr>
        <w:t xml:space="preserve"> el número de </w:t>
      </w:r>
      <w:r w:rsidR="00B11E45" w:rsidRPr="00F733E8">
        <w:rPr>
          <w:rFonts w:cs="Calibri"/>
        </w:rPr>
        <w:t>talentos</w:t>
      </w:r>
      <w:r w:rsidR="002A2C7A" w:rsidRPr="00F733E8">
        <w:rPr>
          <w:rFonts w:cs="Calibri"/>
        </w:rPr>
        <w:t xml:space="preserve"> </w:t>
      </w:r>
      <w:r w:rsidR="00B11E45" w:rsidRPr="00F733E8">
        <w:rPr>
          <w:rFonts w:cs="Calibri"/>
        </w:rPr>
        <w:t>d</w:t>
      </w:r>
      <w:r w:rsidR="002A2C7A" w:rsidRPr="00F733E8">
        <w:rPr>
          <w:rFonts w:cs="Calibri"/>
        </w:rPr>
        <w:t>el Programa de Crédito-beca de la Fundación.</w:t>
      </w:r>
    </w:p>
    <w:p w:rsidR="00A23452" w:rsidRPr="00F733E8" w:rsidRDefault="00A23452" w:rsidP="00730960">
      <w:pPr>
        <w:pStyle w:val="Sinespaciado"/>
        <w:jc w:val="both"/>
        <w:rPr>
          <w:rFonts w:cs="Calibri"/>
        </w:rPr>
      </w:pPr>
    </w:p>
    <w:p w:rsidR="00A23452" w:rsidRPr="00F733E8" w:rsidRDefault="00A23452" w:rsidP="00730960">
      <w:pPr>
        <w:pStyle w:val="Sinespaciado"/>
        <w:jc w:val="both"/>
        <w:rPr>
          <w:rFonts w:cs="Calibri"/>
        </w:rPr>
      </w:pPr>
      <w:r w:rsidRPr="00F733E8">
        <w:rPr>
          <w:rFonts w:cs="Calibri"/>
        </w:rPr>
        <w:t>Los seleccionados en 2013 se especializarán en maestrías y doctorados en las ramas de: Periodismo, Administración de Empresas, Arquitectura, Derecho, Psicología, Economía</w:t>
      </w:r>
      <w:r w:rsidR="00B11E45" w:rsidRPr="00F733E8">
        <w:rPr>
          <w:rFonts w:cs="Calibri"/>
        </w:rPr>
        <w:t>,</w:t>
      </w:r>
      <w:r w:rsidR="00C94036">
        <w:rPr>
          <w:rFonts w:cs="Calibri"/>
        </w:rPr>
        <w:t xml:space="preserve"> Especialidades de la Medicina,</w:t>
      </w:r>
      <w:r w:rsidRPr="00F733E8">
        <w:rPr>
          <w:rFonts w:cs="Calibri"/>
        </w:rPr>
        <w:t xml:space="preserve"> Finanzas, entre otros.</w:t>
      </w:r>
    </w:p>
    <w:p w:rsidR="00A23452" w:rsidRPr="00F733E8" w:rsidRDefault="00A23452" w:rsidP="00730960">
      <w:pPr>
        <w:pStyle w:val="Sinespaciado"/>
        <w:jc w:val="both"/>
        <w:rPr>
          <w:rFonts w:cs="Calibri"/>
        </w:rPr>
      </w:pPr>
    </w:p>
    <w:p w:rsidR="00730960" w:rsidRPr="00F733E8" w:rsidRDefault="00730960" w:rsidP="00730960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F733E8">
        <w:rPr>
          <w:rFonts w:cs="Calibri"/>
          <w:color w:val="000000"/>
        </w:rPr>
        <w:t>El proceso de selección de Guatefuturo es una de sus principales fortalezas, ya que reconoce los méritos académicos y personales de los estudiantes más desatacados. El esfuerzo personal, la dedicación y la excelencia han caracterizado a estos profesionales guatemaltecos que hoy forman parte de los beneficiarios de Guatefuturo.</w:t>
      </w:r>
    </w:p>
    <w:p w:rsidR="00730960" w:rsidRPr="00F733E8" w:rsidRDefault="00730960" w:rsidP="00730960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730960" w:rsidRPr="00F733E8" w:rsidRDefault="00730960" w:rsidP="00730960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F733E8">
        <w:rPr>
          <w:rFonts w:cs="Calibri"/>
          <w:color w:val="000000"/>
        </w:rPr>
        <w:t>Guatemala espera el regreso de profesionales que han ido a prepararse y que, a su vuelta, aportarán con su conocimiento, soluciones nuevas a situaciones que tradicionalmente vivimos en el país. </w:t>
      </w:r>
    </w:p>
    <w:p w:rsidR="00730960" w:rsidRPr="00F733E8" w:rsidRDefault="00730960" w:rsidP="00730960">
      <w:pPr>
        <w:pStyle w:val="Sinespaciado"/>
        <w:jc w:val="both"/>
        <w:rPr>
          <w:rFonts w:cs="Calibri"/>
        </w:rPr>
      </w:pPr>
    </w:p>
    <w:p w:rsidR="00A22E06" w:rsidRPr="00F733E8" w:rsidRDefault="008266B0" w:rsidP="00730960">
      <w:pPr>
        <w:spacing w:after="0" w:line="240" w:lineRule="auto"/>
        <w:jc w:val="both"/>
        <w:rPr>
          <w:rFonts w:cs="Calibri"/>
        </w:rPr>
      </w:pPr>
      <w:r w:rsidRPr="00F733E8">
        <w:rPr>
          <w:rFonts w:cs="Calibri"/>
        </w:rPr>
        <w:t xml:space="preserve">Durante el acto de presentación pública de los nuevos beneficiarios, el Presidente de la Fundación </w:t>
      </w:r>
      <w:r w:rsidR="006D72DE" w:rsidRPr="00F733E8">
        <w:rPr>
          <w:rFonts w:cs="Calibri"/>
        </w:rPr>
        <w:t>Guatefuturo</w:t>
      </w:r>
      <w:r w:rsidRPr="00F733E8">
        <w:rPr>
          <w:rFonts w:cs="Calibri"/>
        </w:rPr>
        <w:t xml:space="preserve">, </w:t>
      </w:r>
      <w:r w:rsidR="00BC7A1C" w:rsidRPr="00F733E8">
        <w:rPr>
          <w:rFonts w:cs="Calibri"/>
        </w:rPr>
        <w:t>Rodrigo Cordón</w:t>
      </w:r>
      <w:r w:rsidR="00DB5E31" w:rsidRPr="00F733E8">
        <w:rPr>
          <w:rFonts w:cs="Calibri"/>
        </w:rPr>
        <w:t xml:space="preserve">, expresó que </w:t>
      </w:r>
      <w:r w:rsidR="00A22E06" w:rsidRPr="00F733E8">
        <w:rPr>
          <w:rFonts w:cs="Calibri"/>
        </w:rPr>
        <w:t>“</w:t>
      </w:r>
      <w:r w:rsidR="00DB5E31" w:rsidRPr="00F733E8">
        <w:rPr>
          <w:rFonts w:cs="Calibri"/>
          <w:i/>
        </w:rPr>
        <w:t>Fundación Guatefuturo acompaña a las nuevas generaciones de profesionales en el proc</w:t>
      </w:r>
      <w:r w:rsidR="00A22E06" w:rsidRPr="00F733E8">
        <w:rPr>
          <w:rFonts w:cs="Calibri"/>
          <w:i/>
        </w:rPr>
        <w:t>eso de ampliar sus horizontes. E</w:t>
      </w:r>
      <w:r w:rsidR="00DB5E31" w:rsidRPr="00F733E8">
        <w:rPr>
          <w:rFonts w:cs="Calibri"/>
          <w:i/>
        </w:rPr>
        <w:t>nviamos a los mejores guatemaltecos a las mejores universidades</w:t>
      </w:r>
      <w:r w:rsidR="00F34040" w:rsidRPr="00F733E8">
        <w:rPr>
          <w:rFonts w:cs="Calibri"/>
          <w:i/>
        </w:rPr>
        <w:t xml:space="preserve"> del mundo</w:t>
      </w:r>
      <w:r w:rsidR="00DB5E31" w:rsidRPr="00F733E8">
        <w:rPr>
          <w:rFonts w:cs="Calibri"/>
          <w:i/>
        </w:rPr>
        <w:t>. Compartimos con los estudiantes la experiencia de construir el sueño de transformar los problemas complejos en soluciones positivas, que impulsen el cambio de nuestro país de forma comprometida y responsable</w:t>
      </w:r>
      <w:r w:rsidR="00DB5E31" w:rsidRPr="00F733E8">
        <w:rPr>
          <w:rFonts w:cs="Calibri"/>
        </w:rPr>
        <w:t>”</w:t>
      </w:r>
      <w:r w:rsidR="00A22E06" w:rsidRPr="00F733E8">
        <w:rPr>
          <w:rFonts w:cs="Calibri"/>
        </w:rPr>
        <w:t xml:space="preserve">. </w:t>
      </w:r>
    </w:p>
    <w:p w:rsidR="00B11E45" w:rsidRPr="00F733E8" w:rsidRDefault="00B11E45" w:rsidP="00730960">
      <w:pPr>
        <w:spacing w:after="0" w:line="240" w:lineRule="auto"/>
        <w:jc w:val="both"/>
        <w:rPr>
          <w:rFonts w:cs="Calibri"/>
        </w:rPr>
      </w:pPr>
    </w:p>
    <w:p w:rsidR="00730960" w:rsidRPr="00F733E8" w:rsidRDefault="00730960" w:rsidP="00730960">
      <w:pPr>
        <w:pStyle w:val="Sinespaciado"/>
        <w:jc w:val="both"/>
        <w:rPr>
          <w:rFonts w:cs="Calibri"/>
          <w:color w:val="000000"/>
        </w:rPr>
      </w:pPr>
    </w:p>
    <w:p w:rsidR="004A1516" w:rsidRPr="00F733E8" w:rsidRDefault="004A1516" w:rsidP="00120E5C">
      <w:pPr>
        <w:pStyle w:val="Sinespaciado"/>
        <w:jc w:val="right"/>
        <w:rPr>
          <w:rFonts w:cs="Calibri"/>
          <w:color w:val="000000"/>
        </w:rPr>
      </w:pPr>
    </w:p>
    <w:p w:rsidR="00730960" w:rsidRDefault="00120E5C" w:rsidP="00120E5C">
      <w:pPr>
        <w:pStyle w:val="Sinespaciado"/>
        <w:jc w:val="right"/>
        <w:rPr>
          <w:rFonts w:cs="Calibri"/>
          <w:color w:val="000000"/>
        </w:rPr>
      </w:pPr>
      <w:r w:rsidRPr="00F733E8">
        <w:rPr>
          <w:rFonts w:cs="Calibri"/>
          <w:color w:val="000000"/>
        </w:rPr>
        <w:t>Continúa/</w:t>
      </w:r>
    </w:p>
    <w:p w:rsidR="004A1516" w:rsidRDefault="004A1516" w:rsidP="00120E5C">
      <w:pPr>
        <w:pStyle w:val="Sinespaciado"/>
        <w:jc w:val="right"/>
        <w:rPr>
          <w:rFonts w:cs="Calibri"/>
          <w:color w:val="000000"/>
        </w:rPr>
      </w:pPr>
    </w:p>
    <w:p w:rsidR="0015243B" w:rsidRDefault="0015243B" w:rsidP="00120E5C">
      <w:pPr>
        <w:pStyle w:val="Sinespaciado"/>
        <w:jc w:val="right"/>
        <w:rPr>
          <w:rFonts w:cs="Calibri"/>
          <w:color w:val="000000"/>
        </w:rPr>
      </w:pPr>
    </w:p>
    <w:p w:rsidR="0015243B" w:rsidRDefault="0015243B" w:rsidP="00120E5C">
      <w:pPr>
        <w:pStyle w:val="Sinespaciado"/>
        <w:jc w:val="right"/>
        <w:rPr>
          <w:rFonts w:cs="Calibri"/>
          <w:color w:val="000000"/>
        </w:rPr>
      </w:pPr>
    </w:p>
    <w:p w:rsidR="00120E5C" w:rsidRDefault="00F51EA1" w:rsidP="00730960">
      <w:pPr>
        <w:pStyle w:val="Sinespaciad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.</w:t>
      </w:r>
      <w:r w:rsidR="004A1516">
        <w:rPr>
          <w:rFonts w:cs="Calibri"/>
          <w:color w:val="000000"/>
        </w:rPr>
        <w:t>.</w:t>
      </w:r>
      <w:r w:rsidR="00120E5C">
        <w:rPr>
          <w:rFonts w:cs="Calibri"/>
          <w:color w:val="000000"/>
        </w:rPr>
        <w:t>/Viene</w:t>
      </w:r>
    </w:p>
    <w:p w:rsidR="00120E5C" w:rsidRDefault="00120E5C" w:rsidP="00730960">
      <w:pPr>
        <w:pStyle w:val="Sinespaciado"/>
        <w:jc w:val="both"/>
        <w:rPr>
          <w:rFonts w:cs="Calibri"/>
          <w:color w:val="000000"/>
        </w:rPr>
      </w:pPr>
    </w:p>
    <w:p w:rsidR="00E11A0D" w:rsidRDefault="00B11E45" w:rsidP="00730960">
      <w:pPr>
        <w:pStyle w:val="Sinespaciad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Yolani Soto Menegazzo, Gerente Ejecutiva de Guatefuturo indicó que “</w:t>
      </w:r>
      <w:r w:rsidRPr="00C94036">
        <w:rPr>
          <w:rFonts w:cs="Calibri"/>
          <w:i/>
        </w:rPr>
        <w:t xml:space="preserve">mejorar Guatemala significa muchas cosas, pero desde la óptica de Guatefuturo significa empujar los complejos procesos que multipliquen por mil el poderío intelectual que </w:t>
      </w:r>
      <w:r w:rsidR="00730960" w:rsidRPr="00C94036">
        <w:rPr>
          <w:rFonts w:cs="Calibri"/>
          <w:i/>
        </w:rPr>
        <w:t xml:space="preserve">está </w:t>
      </w:r>
      <w:r w:rsidRPr="00C94036">
        <w:rPr>
          <w:rFonts w:cs="Calibri"/>
          <w:i/>
        </w:rPr>
        <w:t>aquí reunido</w:t>
      </w:r>
      <w:r w:rsidR="00730960" w:rsidRPr="00C94036">
        <w:rPr>
          <w:rFonts w:cs="Calibri"/>
          <w:i/>
        </w:rPr>
        <w:t xml:space="preserve"> esta noche</w:t>
      </w:r>
      <w:r w:rsidRPr="00C94036">
        <w:rPr>
          <w:rFonts w:cs="Calibri"/>
          <w:i/>
        </w:rPr>
        <w:t>”.</w:t>
      </w:r>
      <w:r w:rsidRPr="00C94036">
        <w:rPr>
          <w:rFonts w:cs="Calibri"/>
          <w:i/>
        </w:rPr>
        <w:br/>
      </w:r>
      <w:r w:rsidRPr="00B11E45">
        <w:rPr>
          <w:rFonts w:cs="Calibri"/>
        </w:rPr>
        <w:br/>
      </w:r>
      <w:r>
        <w:rPr>
          <w:rFonts w:cs="Calibri"/>
          <w:color w:val="000000"/>
        </w:rPr>
        <w:t xml:space="preserve">Durante el evento de entrega de reconocimientos a la nueva generación de beneficiarios, se </w:t>
      </w:r>
      <w:r w:rsidR="00730960">
        <w:rPr>
          <w:rFonts w:cs="Calibri"/>
          <w:color w:val="000000"/>
        </w:rPr>
        <w:t>enfatizó</w:t>
      </w:r>
      <w:r>
        <w:rPr>
          <w:rFonts w:cs="Calibri"/>
          <w:color w:val="000000"/>
        </w:rPr>
        <w:t xml:space="preserve"> que p</w:t>
      </w:r>
      <w:r w:rsidR="00F7083E" w:rsidRPr="00F7083E">
        <w:rPr>
          <w:rFonts w:cs="Calibri"/>
          <w:color w:val="000000"/>
        </w:rPr>
        <w:t>ara fomentar el crecimiento económico del país, es necesario promover la especialización e investigación de quienes, por su distinción de mérito, pueden aportar significativamente al cambio de Guatemala. Guatefuturo ve en cada uno de</w:t>
      </w:r>
      <w:r w:rsidR="00F7083E">
        <w:rPr>
          <w:rFonts w:cs="Calibri"/>
          <w:color w:val="000000"/>
        </w:rPr>
        <w:t xml:space="preserve"> sus beneficiarios el retorno al país </w:t>
      </w:r>
      <w:r w:rsidR="00F7083E" w:rsidRPr="00F7083E">
        <w:rPr>
          <w:rFonts w:cs="Calibri"/>
          <w:color w:val="000000"/>
        </w:rPr>
        <w:t>del conocimiento adquirido no únicamente en el ámbito académico sino en el ámbito cultural.</w:t>
      </w:r>
    </w:p>
    <w:p w:rsidR="00730960" w:rsidRDefault="00730960" w:rsidP="00730960">
      <w:pPr>
        <w:pStyle w:val="Sinespaciado"/>
        <w:jc w:val="both"/>
        <w:rPr>
          <w:rFonts w:cs="Calibri"/>
          <w:color w:val="000000"/>
        </w:rPr>
      </w:pPr>
    </w:p>
    <w:p w:rsidR="00730960" w:rsidRPr="007C3663" w:rsidRDefault="00730960" w:rsidP="00730960">
      <w:pPr>
        <w:pStyle w:val="Sinespaciad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En la entrega de diplomas a los estudiantes </w:t>
      </w:r>
      <w:r w:rsidR="00025E5D">
        <w:rPr>
          <w:rFonts w:cs="Calibri"/>
          <w:color w:val="000000"/>
        </w:rPr>
        <w:t>sobresalientes</w:t>
      </w:r>
      <w:r>
        <w:rPr>
          <w:rFonts w:cs="Calibri"/>
          <w:color w:val="000000"/>
        </w:rPr>
        <w:t>, se hizo mención de</w:t>
      </w:r>
      <w:r w:rsidR="007C3663">
        <w:rPr>
          <w:rFonts w:cs="Calibri"/>
          <w:color w:val="000000"/>
        </w:rPr>
        <w:t xml:space="preserve"> las</w:t>
      </w:r>
      <w:r>
        <w:rPr>
          <w:rFonts w:cs="Calibri"/>
          <w:color w:val="000000"/>
        </w:rPr>
        <w:t xml:space="preserve"> universidades</w:t>
      </w:r>
      <w:r w:rsidR="007C3663">
        <w:rPr>
          <w:rFonts w:cs="Calibri"/>
          <w:color w:val="000000"/>
        </w:rPr>
        <w:t xml:space="preserve"> destacadas mundialmente en las cuales los profesionales realizarán sus estudios de postgrado. </w:t>
      </w:r>
      <w:r w:rsidR="007C3663" w:rsidRPr="007C3663">
        <w:rPr>
          <w:rFonts w:cs="Calibri"/>
          <w:color w:val="000000"/>
        </w:rPr>
        <w:t xml:space="preserve">Algunas que se mencionaron fueron: </w:t>
      </w:r>
      <w:r w:rsidRPr="007C3663">
        <w:rPr>
          <w:rFonts w:cs="Calibri"/>
          <w:color w:val="000000"/>
        </w:rPr>
        <w:t xml:space="preserve">Harvard, Boston, Columbia, New York, Michigan, London School of Economics and Political Science, Nottingham, </w:t>
      </w:r>
      <w:r w:rsidR="00544315" w:rsidRPr="007C3663">
        <w:rPr>
          <w:rFonts w:cs="Calibri"/>
          <w:color w:val="000000"/>
        </w:rPr>
        <w:t xml:space="preserve">British Columbia, </w:t>
      </w:r>
      <w:r w:rsidRPr="007C3663">
        <w:rPr>
          <w:rFonts w:cs="Calibri"/>
          <w:color w:val="000000"/>
        </w:rPr>
        <w:t xml:space="preserve"> Munich,</w:t>
      </w:r>
      <w:r w:rsidR="007C3663" w:rsidRPr="007C3663">
        <w:rPr>
          <w:rFonts w:cs="Calibri"/>
          <w:color w:val="000000"/>
        </w:rPr>
        <w:t xml:space="preserve"> Universidad de Ciencia y Tecnolog</w:t>
      </w:r>
      <w:r w:rsidR="007C3663">
        <w:rPr>
          <w:rFonts w:cs="Calibri"/>
          <w:color w:val="000000"/>
        </w:rPr>
        <w:t xml:space="preserve">ía de Noruega, Utrecht, Barcelona, Chile, Sao Paulo, INCAE, Aalto, Autónoma de México, Politécnico de Milán, Aahus, University of College London, Leiden. Los programas de estudio son variados en áreas del conocimiento e importantes para el desarrollo y solución de la problemática del país. </w:t>
      </w:r>
      <w:r w:rsidRPr="007C3663">
        <w:rPr>
          <w:rFonts w:cs="Calibri"/>
          <w:color w:val="000000"/>
        </w:rPr>
        <w:t xml:space="preserve"> </w:t>
      </w:r>
    </w:p>
    <w:p w:rsidR="00F7083E" w:rsidRPr="007C3663" w:rsidRDefault="00F7083E" w:rsidP="00730960">
      <w:pPr>
        <w:pStyle w:val="Sinespaciado"/>
        <w:jc w:val="both"/>
        <w:rPr>
          <w:rFonts w:cs="Calibri"/>
        </w:rPr>
      </w:pPr>
    </w:p>
    <w:p w:rsidR="006D72DE" w:rsidRPr="0081450A" w:rsidRDefault="00055CA9" w:rsidP="00730960">
      <w:pPr>
        <w:pStyle w:val="Sinespaciado"/>
        <w:rPr>
          <w:rFonts w:cs="Calibri"/>
          <w:b/>
          <w:sz w:val="24"/>
          <w:szCs w:val="24"/>
        </w:rPr>
      </w:pPr>
      <w:r w:rsidRPr="0081450A">
        <w:rPr>
          <w:rFonts w:cs="Calibri"/>
          <w:b/>
          <w:sz w:val="24"/>
          <w:szCs w:val="24"/>
        </w:rPr>
        <w:t>Inversión</w:t>
      </w:r>
    </w:p>
    <w:p w:rsidR="00055CA9" w:rsidRDefault="00E504A1" w:rsidP="00730960">
      <w:pPr>
        <w:pStyle w:val="Sinespaciado"/>
        <w:jc w:val="both"/>
        <w:rPr>
          <w:rFonts w:cs="Calibri"/>
        </w:rPr>
      </w:pPr>
      <w:r w:rsidRPr="00D4572F">
        <w:rPr>
          <w:rFonts w:cs="Calibri"/>
        </w:rPr>
        <w:t>Entre 2008 y 2012</w:t>
      </w:r>
      <w:r w:rsidR="009060F3" w:rsidRPr="00D4572F">
        <w:rPr>
          <w:rFonts w:cs="Calibri"/>
        </w:rPr>
        <w:t xml:space="preserve">, Guatefuturo </w:t>
      </w:r>
      <w:r w:rsidR="00F34040">
        <w:rPr>
          <w:rFonts w:cs="Calibri"/>
        </w:rPr>
        <w:t xml:space="preserve">invirtió </w:t>
      </w:r>
      <w:r w:rsidR="009060F3" w:rsidRPr="00D4572F">
        <w:rPr>
          <w:rFonts w:cs="Calibri"/>
        </w:rPr>
        <w:t xml:space="preserve"> </w:t>
      </w:r>
      <w:r w:rsidR="008266B0" w:rsidRPr="00D4572F">
        <w:rPr>
          <w:rFonts w:cs="Calibri"/>
        </w:rPr>
        <w:t xml:space="preserve">un aproximado de US$ </w:t>
      </w:r>
      <w:r w:rsidRPr="00D4572F">
        <w:rPr>
          <w:rFonts w:cs="Calibri"/>
        </w:rPr>
        <w:t>2.2</w:t>
      </w:r>
      <w:r w:rsidR="008266B0" w:rsidRPr="00D4572F">
        <w:rPr>
          <w:rFonts w:cs="Calibri"/>
        </w:rPr>
        <w:t xml:space="preserve"> millones</w:t>
      </w:r>
      <w:r w:rsidRPr="00D4572F">
        <w:rPr>
          <w:rFonts w:cs="Calibri"/>
        </w:rPr>
        <w:t xml:space="preserve"> en</w:t>
      </w:r>
      <w:r w:rsidR="009060F3" w:rsidRPr="00D4572F">
        <w:rPr>
          <w:rFonts w:cs="Calibri"/>
        </w:rPr>
        <w:t xml:space="preserve"> </w:t>
      </w:r>
      <w:r w:rsidRPr="00D4572F">
        <w:rPr>
          <w:rFonts w:cs="Calibri"/>
        </w:rPr>
        <w:t>77</w:t>
      </w:r>
      <w:r w:rsidR="009060F3" w:rsidRPr="00D4572F">
        <w:rPr>
          <w:rFonts w:cs="Calibri"/>
        </w:rPr>
        <w:t xml:space="preserve"> beneficiarios c</w:t>
      </w:r>
      <w:r w:rsidRPr="00D4572F">
        <w:rPr>
          <w:rFonts w:cs="Calibri"/>
        </w:rPr>
        <w:t>on los que contaba a esa fecha.</w:t>
      </w:r>
      <w:r w:rsidR="00A23697" w:rsidRPr="00D4572F">
        <w:rPr>
          <w:rFonts w:cs="Calibri"/>
        </w:rPr>
        <w:t xml:space="preserve"> </w:t>
      </w:r>
      <w:r w:rsidR="00F7083E">
        <w:rPr>
          <w:rFonts w:cs="Calibri"/>
        </w:rPr>
        <w:t xml:space="preserve">Con los </w:t>
      </w:r>
      <w:r w:rsidR="008266B0" w:rsidRPr="00D4572F">
        <w:rPr>
          <w:rFonts w:cs="Calibri"/>
        </w:rPr>
        <w:t xml:space="preserve"> </w:t>
      </w:r>
      <w:r w:rsidR="008266B0" w:rsidRPr="00C94036">
        <w:rPr>
          <w:rFonts w:cs="Calibri"/>
        </w:rPr>
        <w:t>3</w:t>
      </w:r>
      <w:r w:rsidR="00212723" w:rsidRPr="00C94036">
        <w:rPr>
          <w:rFonts w:cs="Calibri"/>
        </w:rPr>
        <w:t>6</w:t>
      </w:r>
      <w:r w:rsidR="008266B0" w:rsidRPr="00C94036">
        <w:rPr>
          <w:rFonts w:cs="Calibri"/>
        </w:rPr>
        <w:t xml:space="preserve"> nuevos</w:t>
      </w:r>
      <w:r w:rsidR="008266B0" w:rsidRPr="00D4572F">
        <w:rPr>
          <w:rFonts w:cs="Calibri"/>
        </w:rPr>
        <w:t xml:space="preserve"> profesionales </w:t>
      </w:r>
      <w:r w:rsidR="00F7083E">
        <w:rPr>
          <w:rFonts w:cs="Calibri"/>
        </w:rPr>
        <w:t>que se suman este año</w:t>
      </w:r>
      <w:r w:rsidR="008266B0" w:rsidRPr="00D4572F">
        <w:rPr>
          <w:rFonts w:cs="Calibri"/>
        </w:rPr>
        <w:t>,</w:t>
      </w:r>
      <w:r w:rsidR="00A23697" w:rsidRPr="00D4572F">
        <w:rPr>
          <w:rFonts w:cs="Calibri"/>
        </w:rPr>
        <w:t xml:space="preserve"> la </w:t>
      </w:r>
      <w:r w:rsidR="008266B0" w:rsidRPr="00D4572F">
        <w:rPr>
          <w:rFonts w:cs="Calibri"/>
        </w:rPr>
        <w:t xml:space="preserve">inversión </w:t>
      </w:r>
      <w:r w:rsidRPr="00D4572F">
        <w:rPr>
          <w:rFonts w:cs="Calibri"/>
        </w:rPr>
        <w:t xml:space="preserve">asciende </w:t>
      </w:r>
      <w:r w:rsidR="00BA0544" w:rsidRPr="00D4572F">
        <w:rPr>
          <w:rFonts w:cs="Calibri"/>
        </w:rPr>
        <w:t>US$</w:t>
      </w:r>
      <w:r w:rsidR="00C94036">
        <w:rPr>
          <w:rFonts w:cs="Calibri"/>
        </w:rPr>
        <w:t xml:space="preserve"> </w:t>
      </w:r>
      <w:r w:rsidRPr="00D4572F">
        <w:rPr>
          <w:rFonts w:cs="Calibri"/>
        </w:rPr>
        <w:t>1.1 millones,</w:t>
      </w:r>
      <w:r w:rsidR="00BA0544" w:rsidRPr="00D4572F">
        <w:rPr>
          <w:rFonts w:cs="Calibri"/>
        </w:rPr>
        <w:t xml:space="preserve"> lo que da un total de US$</w:t>
      </w:r>
      <w:r w:rsidRPr="00D4572F">
        <w:rPr>
          <w:rFonts w:cs="Calibri"/>
        </w:rPr>
        <w:t xml:space="preserve"> 3.3 millones –cifras redondeadas-.</w:t>
      </w:r>
    </w:p>
    <w:p w:rsidR="007C3663" w:rsidRDefault="007C3663" w:rsidP="00730960">
      <w:pPr>
        <w:pStyle w:val="Sinespaciado"/>
        <w:jc w:val="both"/>
        <w:rPr>
          <w:rFonts w:cs="Calibri"/>
        </w:rPr>
      </w:pPr>
    </w:p>
    <w:p w:rsidR="00D4572F" w:rsidRDefault="00D4572F" w:rsidP="00730960">
      <w:pPr>
        <w:pStyle w:val="Sinespaciado"/>
        <w:jc w:val="both"/>
        <w:rPr>
          <w:rFonts w:cs="Calibri"/>
        </w:rPr>
      </w:pPr>
    </w:p>
    <w:tbl>
      <w:tblPr>
        <w:tblpPr w:leftFromText="141" w:rightFromText="141" w:vertAnchor="text" w:horzAnchor="margin" w:tblpXSpec="center" w:tblpY="-29"/>
        <w:tblW w:w="6389" w:type="dxa"/>
        <w:tblCellMar>
          <w:left w:w="70" w:type="dxa"/>
          <w:right w:w="70" w:type="dxa"/>
        </w:tblCellMar>
        <w:tblLook w:val="04A0"/>
      </w:tblPr>
      <w:tblGrid>
        <w:gridCol w:w="1320"/>
        <w:gridCol w:w="2152"/>
        <w:gridCol w:w="1418"/>
        <w:gridCol w:w="1499"/>
      </w:tblGrid>
      <w:tr w:rsidR="00F51EA1" w:rsidRPr="0081450A" w:rsidTr="00F51EA1">
        <w:trPr>
          <w:trHeight w:val="64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F51EA1" w:rsidRPr="0081450A" w:rsidRDefault="00F51EA1" w:rsidP="00F51E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s-GT"/>
              </w:rPr>
            </w:pPr>
            <w:r w:rsidRPr="0081450A">
              <w:rPr>
                <w:b/>
                <w:bCs/>
                <w:sz w:val="20"/>
                <w:szCs w:val="20"/>
                <w:lang w:eastAsia="es-GT"/>
              </w:rPr>
              <w:t>Generación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F51EA1" w:rsidRDefault="00F51EA1" w:rsidP="00F51E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s-GT"/>
              </w:rPr>
            </w:pPr>
            <w:r w:rsidRPr="0081450A">
              <w:rPr>
                <w:b/>
                <w:bCs/>
                <w:sz w:val="20"/>
                <w:szCs w:val="20"/>
                <w:lang w:eastAsia="es-GT"/>
              </w:rPr>
              <w:t xml:space="preserve">Monto desembolsado </w:t>
            </w:r>
          </w:p>
          <w:p w:rsidR="00F51EA1" w:rsidRPr="0081450A" w:rsidRDefault="00F51EA1" w:rsidP="00F51E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s-GT"/>
              </w:rPr>
            </w:pPr>
            <w:r w:rsidRPr="0081450A">
              <w:rPr>
                <w:b/>
                <w:bCs/>
                <w:sz w:val="20"/>
                <w:szCs w:val="20"/>
                <w:lang w:eastAsia="es-GT"/>
              </w:rPr>
              <w:t>en US$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F51EA1" w:rsidRPr="0081450A" w:rsidRDefault="00F51EA1" w:rsidP="00F51E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s-GT"/>
              </w:rPr>
            </w:pPr>
            <w:r w:rsidRPr="0081450A">
              <w:rPr>
                <w:b/>
                <w:bCs/>
                <w:sz w:val="20"/>
                <w:szCs w:val="20"/>
                <w:lang w:eastAsia="es-GT"/>
              </w:rPr>
              <w:t>Beneficiarios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  <w:hideMark/>
          </w:tcPr>
          <w:p w:rsidR="00F51EA1" w:rsidRPr="00702CFB" w:rsidRDefault="00F51EA1" w:rsidP="00F51E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s-GT"/>
              </w:rPr>
            </w:pPr>
            <w:r w:rsidRPr="00702CFB">
              <w:rPr>
                <w:b/>
                <w:bCs/>
                <w:sz w:val="20"/>
                <w:szCs w:val="20"/>
                <w:lang w:eastAsia="es-GT"/>
              </w:rPr>
              <w:t>Beneficiarios en Guatemala</w:t>
            </w:r>
          </w:p>
        </w:tc>
      </w:tr>
      <w:tr w:rsidR="00F51EA1" w:rsidRPr="0081450A" w:rsidTr="00F51EA1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s-GT"/>
              </w:rPr>
            </w:pPr>
            <w:r w:rsidRPr="0081450A">
              <w:rPr>
                <w:b/>
                <w:bCs/>
                <w:sz w:val="20"/>
                <w:szCs w:val="20"/>
                <w:lang w:eastAsia="es-GT"/>
              </w:rPr>
              <w:t>PCB 2008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 w:rsidRPr="0081450A">
              <w:rPr>
                <w:sz w:val="20"/>
                <w:szCs w:val="20"/>
                <w:lang w:eastAsia="es-GT"/>
              </w:rPr>
              <w:t>256,739.10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 w:rsidRPr="0081450A">
              <w:rPr>
                <w:sz w:val="20"/>
                <w:szCs w:val="20"/>
                <w:lang w:eastAsia="es-GT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hideMark/>
          </w:tcPr>
          <w:p w:rsidR="00F51EA1" w:rsidRPr="00702CFB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>
              <w:rPr>
                <w:sz w:val="20"/>
                <w:szCs w:val="20"/>
                <w:lang w:eastAsia="es-GT"/>
              </w:rPr>
              <w:t>6</w:t>
            </w:r>
          </w:p>
        </w:tc>
      </w:tr>
      <w:tr w:rsidR="00F51EA1" w:rsidRPr="0081450A" w:rsidTr="00F51EA1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s-GT"/>
              </w:rPr>
            </w:pPr>
            <w:r w:rsidRPr="0081450A">
              <w:rPr>
                <w:b/>
                <w:bCs/>
                <w:sz w:val="20"/>
                <w:szCs w:val="20"/>
                <w:lang w:eastAsia="es-GT"/>
              </w:rPr>
              <w:t>PCB 2009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 w:rsidRPr="0081450A">
              <w:rPr>
                <w:sz w:val="20"/>
                <w:szCs w:val="20"/>
                <w:lang w:eastAsia="es-GT"/>
              </w:rPr>
              <w:t>235,962.22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 w:rsidRPr="0081450A">
              <w:rPr>
                <w:sz w:val="20"/>
                <w:szCs w:val="20"/>
                <w:lang w:eastAsia="es-GT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hideMark/>
          </w:tcPr>
          <w:p w:rsidR="00F51EA1" w:rsidRPr="00702CFB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>
              <w:rPr>
                <w:sz w:val="20"/>
                <w:szCs w:val="20"/>
                <w:lang w:eastAsia="es-GT"/>
              </w:rPr>
              <w:t>7</w:t>
            </w:r>
          </w:p>
        </w:tc>
      </w:tr>
      <w:tr w:rsidR="00F51EA1" w:rsidRPr="0081450A" w:rsidTr="00F51EA1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s-GT"/>
              </w:rPr>
            </w:pPr>
            <w:r w:rsidRPr="0081450A">
              <w:rPr>
                <w:b/>
                <w:bCs/>
                <w:sz w:val="20"/>
                <w:szCs w:val="20"/>
                <w:lang w:eastAsia="es-GT"/>
              </w:rPr>
              <w:t>PCB 2010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 w:rsidRPr="0081450A">
              <w:rPr>
                <w:sz w:val="20"/>
                <w:szCs w:val="20"/>
                <w:lang w:eastAsia="es-GT"/>
              </w:rPr>
              <w:t>381,689.95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 w:rsidRPr="0081450A">
              <w:rPr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hideMark/>
          </w:tcPr>
          <w:p w:rsidR="00F51EA1" w:rsidRPr="00702CFB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>
              <w:rPr>
                <w:sz w:val="20"/>
                <w:szCs w:val="20"/>
                <w:lang w:eastAsia="es-GT"/>
              </w:rPr>
              <w:t>13</w:t>
            </w:r>
          </w:p>
        </w:tc>
      </w:tr>
      <w:tr w:rsidR="00F51EA1" w:rsidRPr="0081450A" w:rsidTr="00F51EA1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s-GT"/>
              </w:rPr>
            </w:pPr>
            <w:r w:rsidRPr="0081450A">
              <w:rPr>
                <w:b/>
                <w:bCs/>
                <w:sz w:val="20"/>
                <w:szCs w:val="20"/>
                <w:lang w:eastAsia="es-GT"/>
              </w:rPr>
              <w:t>PCB 2011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 w:rsidRPr="0081450A">
              <w:rPr>
                <w:sz w:val="20"/>
                <w:szCs w:val="20"/>
                <w:lang w:eastAsia="es-GT"/>
              </w:rPr>
              <w:t>433,309.00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 w:rsidRPr="0081450A">
              <w:rPr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hideMark/>
          </w:tcPr>
          <w:p w:rsidR="00F51EA1" w:rsidRPr="00702CFB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>
              <w:rPr>
                <w:sz w:val="20"/>
                <w:szCs w:val="20"/>
                <w:lang w:eastAsia="es-GT"/>
              </w:rPr>
              <w:t>10</w:t>
            </w:r>
          </w:p>
        </w:tc>
      </w:tr>
      <w:tr w:rsidR="00F51EA1" w:rsidRPr="0081450A" w:rsidTr="00F51EA1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s-GT"/>
              </w:rPr>
            </w:pPr>
            <w:r w:rsidRPr="0081450A">
              <w:rPr>
                <w:b/>
                <w:bCs/>
                <w:sz w:val="20"/>
                <w:szCs w:val="20"/>
                <w:lang w:eastAsia="es-GT"/>
              </w:rPr>
              <w:t>PCB 2012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 w:rsidRPr="0081450A">
              <w:rPr>
                <w:sz w:val="20"/>
                <w:szCs w:val="20"/>
                <w:lang w:eastAsia="es-GT"/>
              </w:rPr>
              <w:t>858,830.00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 w:rsidRPr="0081450A">
              <w:rPr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hideMark/>
          </w:tcPr>
          <w:p w:rsidR="00F51EA1" w:rsidRPr="00702CFB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>
              <w:rPr>
                <w:sz w:val="20"/>
                <w:szCs w:val="20"/>
                <w:lang w:eastAsia="es-GT"/>
              </w:rPr>
              <w:t>2</w:t>
            </w:r>
          </w:p>
        </w:tc>
      </w:tr>
      <w:tr w:rsidR="00F51EA1" w:rsidRPr="0081450A" w:rsidTr="00F51EA1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s-GT"/>
              </w:rPr>
            </w:pPr>
            <w:r w:rsidRPr="0081450A">
              <w:rPr>
                <w:b/>
                <w:bCs/>
                <w:sz w:val="20"/>
                <w:szCs w:val="20"/>
                <w:lang w:eastAsia="es-GT"/>
              </w:rPr>
              <w:t>PCB 2013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>
              <w:rPr>
                <w:sz w:val="20"/>
                <w:szCs w:val="20"/>
                <w:lang w:eastAsia="es-GT"/>
              </w:rPr>
              <w:t>1,150,504.00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 w:rsidRPr="0081450A">
              <w:rPr>
                <w:sz w:val="20"/>
                <w:szCs w:val="20"/>
                <w:lang w:eastAsia="es-GT"/>
              </w:rPr>
              <w:t>3</w:t>
            </w:r>
            <w:r>
              <w:rPr>
                <w:sz w:val="20"/>
                <w:szCs w:val="20"/>
                <w:lang w:eastAsia="es-GT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 w:themeFill="accent6"/>
            <w:hideMark/>
          </w:tcPr>
          <w:p w:rsidR="00F51EA1" w:rsidRPr="00702CFB" w:rsidRDefault="00F51EA1" w:rsidP="00F51EA1">
            <w:pPr>
              <w:spacing w:after="0" w:line="240" w:lineRule="auto"/>
              <w:jc w:val="right"/>
              <w:rPr>
                <w:sz w:val="20"/>
                <w:szCs w:val="20"/>
                <w:lang w:eastAsia="es-GT"/>
              </w:rPr>
            </w:pPr>
            <w:r>
              <w:rPr>
                <w:sz w:val="20"/>
                <w:szCs w:val="20"/>
                <w:lang w:eastAsia="es-GT"/>
              </w:rPr>
              <w:t>n/a</w:t>
            </w:r>
          </w:p>
        </w:tc>
      </w:tr>
      <w:tr w:rsidR="00F51EA1" w:rsidRPr="0081450A" w:rsidTr="00F51EA1">
        <w:trPr>
          <w:trHeight w:val="255"/>
        </w:trPr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79646"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s-GT"/>
              </w:rPr>
            </w:pPr>
            <w:r w:rsidRPr="0081450A">
              <w:rPr>
                <w:b/>
                <w:bCs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GT"/>
              </w:rPr>
            </w:pPr>
            <w:r>
              <w:rPr>
                <w:b/>
                <w:bCs/>
                <w:sz w:val="20"/>
                <w:szCs w:val="20"/>
                <w:lang w:eastAsia="es-GT"/>
              </w:rPr>
              <w:t>3,317,034.27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GT"/>
              </w:rPr>
            </w:pPr>
            <w:r w:rsidRPr="0081450A">
              <w:rPr>
                <w:b/>
                <w:bCs/>
                <w:sz w:val="20"/>
                <w:szCs w:val="20"/>
                <w:lang w:eastAsia="es-GT"/>
              </w:rPr>
              <w:t>11</w:t>
            </w:r>
            <w:r>
              <w:rPr>
                <w:b/>
                <w:bCs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9646" w:themeFill="accent6"/>
            <w:hideMark/>
          </w:tcPr>
          <w:p w:rsidR="00F51EA1" w:rsidRPr="00702CFB" w:rsidRDefault="00F51EA1" w:rsidP="00F51EA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GT"/>
              </w:rPr>
            </w:pPr>
            <w:r>
              <w:rPr>
                <w:b/>
                <w:bCs/>
                <w:sz w:val="20"/>
                <w:szCs w:val="20"/>
                <w:lang w:eastAsia="es-GT"/>
              </w:rPr>
              <w:t>38</w:t>
            </w:r>
          </w:p>
        </w:tc>
      </w:tr>
      <w:tr w:rsidR="00F51EA1" w:rsidRPr="0081450A" w:rsidTr="00F51EA1">
        <w:trPr>
          <w:trHeight w:val="2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rPr>
                <w:sz w:val="20"/>
                <w:szCs w:val="20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rPr>
                <w:sz w:val="20"/>
                <w:szCs w:val="20"/>
                <w:lang w:eastAsia="es-GT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EA1" w:rsidRPr="0081450A" w:rsidRDefault="00F51EA1" w:rsidP="00F51EA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s-GT"/>
              </w:rPr>
            </w:pPr>
          </w:p>
        </w:tc>
      </w:tr>
      <w:tr w:rsidR="00F51EA1" w:rsidRPr="0081450A" w:rsidTr="00F51EA1">
        <w:trPr>
          <w:trHeight w:val="480"/>
        </w:trPr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1EA1" w:rsidRPr="0081450A" w:rsidRDefault="00F51EA1" w:rsidP="00F51EA1">
            <w:pPr>
              <w:spacing w:after="0" w:line="240" w:lineRule="auto"/>
              <w:jc w:val="center"/>
              <w:rPr>
                <w:sz w:val="20"/>
                <w:szCs w:val="20"/>
                <w:lang w:eastAsia="es-GT"/>
              </w:rPr>
            </w:pPr>
            <w:r w:rsidRPr="0081450A">
              <w:rPr>
                <w:sz w:val="20"/>
                <w:szCs w:val="20"/>
                <w:lang w:eastAsia="es-GT"/>
              </w:rPr>
              <w:t xml:space="preserve">* </w:t>
            </w:r>
            <w:r w:rsidRPr="0081450A">
              <w:rPr>
                <w:b/>
                <w:sz w:val="20"/>
                <w:szCs w:val="20"/>
                <w:lang w:eastAsia="es-GT"/>
              </w:rPr>
              <w:t>Datos de 2008 a 2010 contemplan desembolsos. 2011, 2012 y 2013 reflejan montos autorizados, aunque no desembolsados en su totalidad.</w:t>
            </w:r>
            <w:r w:rsidRPr="0081450A">
              <w:rPr>
                <w:sz w:val="20"/>
                <w:szCs w:val="20"/>
                <w:lang w:eastAsia="es-GT"/>
              </w:rPr>
              <w:t xml:space="preserve"> </w:t>
            </w:r>
          </w:p>
        </w:tc>
      </w:tr>
    </w:tbl>
    <w:p w:rsidR="00D4572F" w:rsidRDefault="00D4572F" w:rsidP="00730960">
      <w:pPr>
        <w:pStyle w:val="Sinespaciado"/>
        <w:jc w:val="both"/>
        <w:rPr>
          <w:rFonts w:cs="Calibri"/>
        </w:rPr>
      </w:pPr>
    </w:p>
    <w:p w:rsidR="00D4572F" w:rsidRPr="00D4572F" w:rsidRDefault="00D4572F" w:rsidP="00730960">
      <w:pPr>
        <w:pStyle w:val="Sinespaciado"/>
        <w:jc w:val="both"/>
        <w:rPr>
          <w:rFonts w:cs="Calibri"/>
        </w:rPr>
      </w:pPr>
    </w:p>
    <w:p w:rsidR="00055CA9" w:rsidRPr="00D4572F" w:rsidRDefault="00055CA9" w:rsidP="00730960">
      <w:pPr>
        <w:pStyle w:val="Sinespaciado"/>
        <w:rPr>
          <w:rFonts w:cs="Calibri"/>
          <w:sz w:val="21"/>
          <w:szCs w:val="21"/>
        </w:rPr>
      </w:pPr>
    </w:p>
    <w:p w:rsidR="009A2940" w:rsidRDefault="009A2940" w:rsidP="00730960">
      <w:pPr>
        <w:pStyle w:val="Sinespaciado"/>
        <w:jc w:val="both"/>
        <w:rPr>
          <w:rFonts w:cs="Calibri"/>
          <w:b/>
          <w:color w:val="333333"/>
          <w:sz w:val="24"/>
          <w:szCs w:val="24"/>
          <w:lang w:val="es-ES" w:eastAsia="es-ES"/>
        </w:rPr>
      </w:pPr>
    </w:p>
    <w:p w:rsidR="009A2940" w:rsidRDefault="009A2940" w:rsidP="00730960">
      <w:pPr>
        <w:pStyle w:val="Sinespaciado"/>
        <w:jc w:val="both"/>
        <w:rPr>
          <w:rFonts w:cs="Calibri"/>
          <w:b/>
          <w:color w:val="333333"/>
          <w:sz w:val="24"/>
          <w:szCs w:val="24"/>
          <w:lang w:val="es-ES" w:eastAsia="es-ES"/>
        </w:rPr>
      </w:pPr>
    </w:p>
    <w:p w:rsidR="009A2940" w:rsidRDefault="009A2940" w:rsidP="00730960">
      <w:pPr>
        <w:pStyle w:val="Sinespaciado"/>
        <w:jc w:val="both"/>
        <w:rPr>
          <w:rFonts w:cs="Calibri"/>
          <w:b/>
          <w:color w:val="333333"/>
          <w:sz w:val="24"/>
          <w:szCs w:val="24"/>
          <w:lang w:val="es-ES" w:eastAsia="es-ES"/>
        </w:rPr>
      </w:pPr>
    </w:p>
    <w:p w:rsidR="009A2940" w:rsidRDefault="009A2940" w:rsidP="00730960">
      <w:pPr>
        <w:pStyle w:val="Sinespaciado"/>
        <w:jc w:val="both"/>
        <w:rPr>
          <w:rFonts w:cs="Calibri"/>
          <w:b/>
          <w:color w:val="333333"/>
          <w:sz w:val="24"/>
          <w:szCs w:val="24"/>
          <w:lang w:val="es-ES" w:eastAsia="es-ES"/>
        </w:rPr>
      </w:pPr>
    </w:p>
    <w:p w:rsidR="009A2940" w:rsidRDefault="009A2940" w:rsidP="00730960">
      <w:pPr>
        <w:pStyle w:val="Sinespaciado"/>
        <w:jc w:val="both"/>
        <w:rPr>
          <w:rFonts w:cs="Calibri"/>
          <w:b/>
          <w:color w:val="333333"/>
          <w:sz w:val="24"/>
          <w:szCs w:val="24"/>
          <w:lang w:val="es-ES" w:eastAsia="es-ES"/>
        </w:rPr>
      </w:pPr>
    </w:p>
    <w:p w:rsidR="009A2940" w:rsidRDefault="009A2940" w:rsidP="00730960">
      <w:pPr>
        <w:pStyle w:val="Sinespaciado"/>
        <w:jc w:val="both"/>
        <w:rPr>
          <w:rFonts w:cs="Calibri"/>
          <w:b/>
          <w:color w:val="333333"/>
          <w:sz w:val="24"/>
          <w:szCs w:val="24"/>
          <w:lang w:val="es-ES" w:eastAsia="es-ES"/>
        </w:rPr>
      </w:pPr>
    </w:p>
    <w:p w:rsidR="009A2940" w:rsidRDefault="009A2940" w:rsidP="00730960">
      <w:pPr>
        <w:pStyle w:val="Sinespaciado"/>
        <w:jc w:val="both"/>
        <w:rPr>
          <w:rFonts w:cs="Calibri"/>
          <w:b/>
          <w:color w:val="333333"/>
          <w:sz w:val="24"/>
          <w:szCs w:val="24"/>
          <w:lang w:val="es-ES" w:eastAsia="es-ES"/>
        </w:rPr>
      </w:pPr>
    </w:p>
    <w:p w:rsidR="009A2940" w:rsidRDefault="009A2940" w:rsidP="00730960">
      <w:pPr>
        <w:pStyle w:val="Sinespaciado"/>
        <w:jc w:val="both"/>
        <w:rPr>
          <w:rFonts w:cs="Calibri"/>
          <w:b/>
          <w:color w:val="333333"/>
          <w:sz w:val="24"/>
          <w:szCs w:val="24"/>
          <w:lang w:val="es-ES" w:eastAsia="es-ES"/>
        </w:rPr>
      </w:pPr>
    </w:p>
    <w:p w:rsidR="009A2940" w:rsidRDefault="009A2940" w:rsidP="00730960">
      <w:pPr>
        <w:pStyle w:val="Sinespaciado"/>
        <w:jc w:val="both"/>
        <w:rPr>
          <w:rFonts w:cs="Calibri"/>
          <w:b/>
          <w:color w:val="333333"/>
          <w:sz w:val="24"/>
          <w:szCs w:val="24"/>
          <w:lang w:val="es-ES" w:eastAsia="es-ES"/>
        </w:rPr>
      </w:pPr>
    </w:p>
    <w:p w:rsidR="0015243B" w:rsidRDefault="0015243B" w:rsidP="004A1516">
      <w:pPr>
        <w:pStyle w:val="Sinespaciado"/>
        <w:jc w:val="right"/>
        <w:rPr>
          <w:rFonts w:cs="Calibri"/>
          <w:color w:val="333333"/>
          <w:sz w:val="24"/>
          <w:szCs w:val="24"/>
          <w:lang w:val="es-ES" w:eastAsia="es-ES"/>
        </w:rPr>
      </w:pPr>
    </w:p>
    <w:p w:rsidR="004A1516" w:rsidRPr="0015243B" w:rsidRDefault="004A1516" w:rsidP="004A1516">
      <w:pPr>
        <w:pStyle w:val="Sinespaciado"/>
        <w:jc w:val="right"/>
        <w:rPr>
          <w:rFonts w:cs="Calibri"/>
          <w:lang w:val="es-ES" w:eastAsia="es-ES"/>
        </w:rPr>
      </w:pPr>
      <w:r w:rsidRPr="0015243B">
        <w:rPr>
          <w:rFonts w:cs="Calibri"/>
          <w:lang w:val="es-ES" w:eastAsia="es-ES"/>
        </w:rPr>
        <w:t>Continúa/</w:t>
      </w:r>
    </w:p>
    <w:p w:rsidR="004A1516" w:rsidRDefault="004A1516" w:rsidP="00730960">
      <w:pPr>
        <w:pStyle w:val="Sinespaciado"/>
        <w:jc w:val="both"/>
        <w:rPr>
          <w:rFonts w:cs="Calibri"/>
          <w:b/>
          <w:color w:val="333333"/>
          <w:sz w:val="24"/>
          <w:szCs w:val="24"/>
          <w:lang w:val="es-ES" w:eastAsia="es-ES"/>
        </w:rPr>
      </w:pPr>
    </w:p>
    <w:p w:rsidR="004A1516" w:rsidRDefault="004A1516" w:rsidP="00730960">
      <w:pPr>
        <w:pStyle w:val="Sinespaciado"/>
        <w:jc w:val="both"/>
        <w:rPr>
          <w:rFonts w:cs="Calibri"/>
          <w:b/>
          <w:color w:val="333333"/>
          <w:sz w:val="24"/>
          <w:szCs w:val="24"/>
          <w:lang w:val="es-ES" w:eastAsia="es-ES"/>
        </w:rPr>
      </w:pPr>
    </w:p>
    <w:p w:rsidR="004A1516" w:rsidRPr="004A1516" w:rsidRDefault="004A1516" w:rsidP="00730960">
      <w:pPr>
        <w:pStyle w:val="Sinespaciado"/>
        <w:jc w:val="both"/>
        <w:rPr>
          <w:rFonts w:cs="Calibri"/>
          <w:color w:val="333333"/>
          <w:sz w:val="24"/>
          <w:szCs w:val="24"/>
          <w:lang w:val="es-ES" w:eastAsia="es-ES"/>
        </w:rPr>
      </w:pPr>
      <w:r w:rsidRPr="004A1516">
        <w:rPr>
          <w:rFonts w:cs="Calibri"/>
          <w:color w:val="333333"/>
          <w:sz w:val="24"/>
          <w:szCs w:val="24"/>
          <w:lang w:val="es-ES" w:eastAsia="es-ES"/>
        </w:rPr>
        <w:lastRenderedPageBreak/>
        <w:t>…/Viene</w:t>
      </w:r>
    </w:p>
    <w:p w:rsidR="004A1516" w:rsidRDefault="004A1516" w:rsidP="00730960">
      <w:pPr>
        <w:pStyle w:val="Sinespaciado"/>
        <w:jc w:val="both"/>
        <w:rPr>
          <w:rFonts w:cs="Calibri"/>
          <w:b/>
          <w:color w:val="333333"/>
          <w:sz w:val="24"/>
          <w:szCs w:val="24"/>
          <w:lang w:val="es-ES" w:eastAsia="es-ES"/>
        </w:rPr>
      </w:pPr>
    </w:p>
    <w:p w:rsidR="00C91BA1" w:rsidRPr="0081450A" w:rsidRDefault="00F2626B" w:rsidP="00730960">
      <w:pPr>
        <w:pStyle w:val="Sinespaciado"/>
        <w:jc w:val="both"/>
        <w:rPr>
          <w:rFonts w:cs="Calibri"/>
          <w:color w:val="333333"/>
          <w:sz w:val="24"/>
          <w:szCs w:val="24"/>
          <w:lang w:val="es-ES" w:eastAsia="es-ES"/>
        </w:rPr>
      </w:pPr>
      <w:r w:rsidRPr="0081450A">
        <w:rPr>
          <w:rFonts w:cs="Calibri"/>
          <w:b/>
          <w:color w:val="333333"/>
          <w:sz w:val="24"/>
          <w:szCs w:val="24"/>
          <w:lang w:val="es-ES" w:eastAsia="es-ES"/>
        </w:rPr>
        <w:t>Con honores</w:t>
      </w:r>
    </w:p>
    <w:p w:rsidR="00C91BA1" w:rsidRDefault="00E504A1" w:rsidP="00730960">
      <w:pPr>
        <w:pStyle w:val="Sinespaciado"/>
        <w:jc w:val="both"/>
        <w:rPr>
          <w:rFonts w:cs="Calibri"/>
          <w:lang w:eastAsia="es-GT"/>
        </w:rPr>
      </w:pPr>
      <w:r>
        <w:rPr>
          <w:rFonts w:cs="Calibri"/>
          <w:bCs/>
          <w:color w:val="000000"/>
        </w:rPr>
        <w:t>Guatefuturo conoce el talento</w:t>
      </w:r>
      <w:r w:rsidR="009060F3" w:rsidRPr="00D9420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>de</w:t>
      </w:r>
      <w:r w:rsidR="009060F3" w:rsidRPr="00D94206">
        <w:rPr>
          <w:rFonts w:cs="Calibri"/>
          <w:bCs/>
          <w:color w:val="000000"/>
        </w:rPr>
        <w:t xml:space="preserve"> sus benefici</w:t>
      </w:r>
      <w:r>
        <w:rPr>
          <w:rFonts w:cs="Calibri"/>
          <w:bCs/>
          <w:color w:val="000000"/>
        </w:rPr>
        <w:t>arios y, por lo tanto, requiere</w:t>
      </w:r>
      <w:r w:rsidR="009060F3" w:rsidRPr="00D94206">
        <w:rPr>
          <w:rFonts w:cs="Calibri"/>
          <w:bCs/>
          <w:color w:val="000000"/>
        </w:rPr>
        <w:t xml:space="preserve"> que tengan el mejor rendimiento académico y representen con honor </w:t>
      </w:r>
      <w:r w:rsidR="00D94206">
        <w:rPr>
          <w:rFonts w:cs="Calibri"/>
          <w:bCs/>
          <w:color w:val="000000"/>
        </w:rPr>
        <w:t>a Guatemala</w:t>
      </w:r>
      <w:r w:rsidR="0081450A">
        <w:rPr>
          <w:rFonts w:cs="Calibri"/>
          <w:color w:val="000000"/>
        </w:rPr>
        <w:t>. P</w:t>
      </w:r>
      <w:r w:rsidR="00D94206">
        <w:rPr>
          <w:rFonts w:cs="Calibri"/>
          <w:color w:val="000000"/>
        </w:rPr>
        <w:t xml:space="preserve">or esa razón, es importante </w:t>
      </w:r>
      <w:r w:rsidR="00151DF8">
        <w:rPr>
          <w:rFonts w:cs="Calibri"/>
          <w:lang w:eastAsia="es-GT"/>
        </w:rPr>
        <w:t xml:space="preserve">señalar que </w:t>
      </w:r>
      <w:r w:rsidR="00D94206">
        <w:rPr>
          <w:rFonts w:cs="Calibri"/>
          <w:lang w:eastAsia="es-GT"/>
        </w:rPr>
        <w:t>varios de nuestr</w:t>
      </w:r>
      <w:r w:rsidR="008765D9">
        <w:rPr>
          <w:rFonts w:cs="Calibri"/>
          <w:lang w:eastAsia="es-GT"/>
        </w:rPr>
        <w:t xml:space="preserve">os profesionales han sido premiados por su </w:t>
      </w:r>
      <w:r w:rsidR="00D94206">
        <w:rPr>
          <w:rFonts w:cs="Calibri"/>
          <w:lang w:eastAsia="es-GT"/>
        </w:rPr>
        <w:t>excelencia</w:t>
      </w:r>
      <w:r w:rsidR="0081450A">
        <w:rPr>
          <w:rFonts w:cs="Calibri"/>
          <w:lang w:eastAsia="es-GT"/>
        </w:rPr>
        <w:t xml:space="preserve"> entre ellos </w:t>
      </w:r>
      <w:r w:rsidR="008765D9">
        <w:rPr>
          <w:rFonts w:cs="Calibri"/>
          <w:lang w:eastAsia="es-GT"/>
        </w:rPr>
        <w:t xml:space="preserve"> Marcel Roerhs Calderón, </w:t>
      </w:r>
      <w:r w:rsidR="00384A07">
        <w:rPr>
          <w:rFonts w:cs="Calibri"/>
          <w:lang w:eastAsia="es-GT"/>
        </w:rPr>
        <w:t>elegido “Acton Scholar”</w:t>
      </w:r>
      <w:r w:rsidR="008765D9">
        <w:rPr>
          <w:rFonts w:cs="Calibri"/>
          <w:lang w:eastAsia="es-GT"/>
        </w:rPr>
        <w:t xml:space="preserve"> por sus extraordinarios logros académicos en Acton, Texas, Estados </w:t>
      </w:r>
      <w:r w:rsidR="0081450A">
        <w:rPr>
          <w:rFonts w:cs="Calibri"/>
          <w:lang w:eastAsia="es-GT"/>
        </w:rPr>
        <w:t xml:space="preserve">Unidos de América; </w:t>
      </w:r>
      <w:r w:rsidR="008765D9">
        <w:rPr>
          <w:rFonts w:cs="Calibri"/>
          <w:lang w:eastAsia="es-GT"/>
        </w:rPr>
        <w:t xml:space="preserve"> María Cristina Galindo gan</w:t>
      </w:r>
      <w:r w:rsidR="00C50D8D">
        <w:rPr>
          <w:rFonts w:cs="Calibri"/>
          <w:lang w:eastAsia="es-GT"/>
        </w:rPr>
        <w:t>adora de</w:t>
      </w:r>
      <w:r w:rsidR="008765D9">
        <w:rPr>
          <w:rFonts w:cs="Calibri"/>
          <w:lang w:eastAsia="es-GT"/>
        </w:rPr>
        <w:t xml:space="preserve"> la beca Werner Ktelhö</w:t>
      </w:r>
      <w:r w:rsidR="008E4D1B">
        <w:rPr>
          <w:rFonts w:cs="Calibri"/>
          <w:lang w:eastAsia="es-GT"/>
        </w:rPr>
        <w:t xml:space="preserve">hn por el promedio más alto en INCAE, Nicaragua; y </w:t>
      </w:r>
      <w:r w:rsidR="00212723">
        <w:rPr>
          <w:rFonts w:cs="Calibri"/>
          <w:lang w:eastAsia="es-GT"/>
        </w:rPr>
        <w:t>Leopoldo Vesco Leiva quien recibió The Basil G. Bibby Award en reconocimiento del sobresaliente mérito científico, otorgado por The Rochester Section de la Asociación Americana para la Investigación Dental.</w:t>
      </w:r>
    </w:p>
    <w:p w:rsidR="008E4D1B" w:rsidRDefault="008E4D1B" w:rsidP="00730960">
      <w:pPr>
        <w:pStyle w:val="Sinespaciado"/>
        <w:jc w:val="both"/>
        <w:rPr>
          <w:rFonts w:cs="Calibri"/>
          <w:lang w:eastAsia="es-GT"/>
        </w:rPr>
      </w:pPr>
    </w:p>
    <w:p w:rsidR="008E4D1B" w:rsidRDefault="001B2805" w:rsidP="00730960">
      <w:pPr>
        <w:pStyle w:val="Sinespaciado"/>
        <w:jc w:val="both"/>
        <w:rPr>
          <w:rFonts w:cs="Calibri"/>
          <w:lang w:eastAsia="es-GT"/>
        </w:rPr>
      </w:pPr>
      <w:r>
        <w:rPr>
          <w:rFonts w:cs="Calibri"/>
          <w:lang w:eastAsia="es-GT"/>
        </w:rPr>
        <w:t>Asimismo</w:t>
      </w:r>
      <w:r w:rsidR="00A26888">
        <w:rPr>
          <w:rFonts w:cs="Calibri"/>
          <w:lang w:eastAsia="es-GT"/>
        </w:rPr>
        <w:t>, Dalila García, César Solórzano, Ri</w:t>
      </w:r>
      <w:r>
        <w:rPr>
          <w:rFonts w:cs="Calibri"/>
          <w:lang w:eastAsia="es-GT"/>
        </w:rPr>
        <w:t>talucía Cajas, Nicolle Melville y</w:t>
      </w:r>
      <w:r w:rsidR="00A26888">
        <w:rPr>
          <w:rFonts w:cs="Calibri"/>
          <w:lang w:eastAsia="es-GT"/>
        </w:rPr>
        <w:t xml:space="preserve"> Juan Manuel Samayoa</w:t>
      </w:r>
      <w:r w:rsidR="00AC7A12">
        <w:rPr>
          <w:rFonts w:cs="Calibri"/>
          <w:lang w:eastAsia="es-GT"/>
        </w:rPr>
        <w:t xml:space="preserve">, fueron </w:t>
      </w:r>
      <w:r w:rsidR="00424A5A">
        <w:rPr>
          <w:rFonts w:cs="Calibri"/>
          <w:lang w:eastAsia="es-GT"/>
        </w:rPr>
        <w:t>premiados por la</w:t>
      </w:r>
      <w:r w:rsidR="00A26888">
        <w:rPr>
          <w:rFonts w:cs="Calibri"/>
          <w:lang w:eastAsia="es-GT"/>
        </w:rPr>
        <w:t xml:space="preserve"> excelencia </w:t>
      </w:r>
      <w:r w:rsidR="00424A5A">
        <w:rPr>
          <w:rFonts w:cs="Calibri"/>
          <w:lang w:eastAsia="es-GT"/>
        </w:rPr>
        <w:t>de los</w:t>
      </w:r>
      <w:r w:rsidR="00A26888">
        <w:rPr>
          <w:rFonts w:cs="Calibri"/>
          <w:lang w:eastAsia="es-GT"/>
        </w:rPr>
        <w:t xml:space="preserve"> proyectos </w:t>
      </w:r>
      <w:r w:rsidR="00AC7A12">
        <w:rPr>
          <w:rFonts w:cs="Calibri"/>
          <w:lang w:eastAsia="es-GT"/>
        </w:rPr>
        <w:t>realizados como parte de su preparación académica.</w:t>
      </w:r>
    </w:p>
    <w:p w:rsidR="00F34040" w:rsidRDefault="00F34040" w:rsidP="00730960">
      <w:pPr>
        <w:pStyle w:val="Sinespaciado"/>
        <w:jc w:val="both"/>
        <w:rPr>
          <w:rFonts w:cs="Calibri"/>
          <w:lang w:eastAsia="es-GT"/>
        </w:rPr>
      </w:pPr>
    </w:p>
    <w:p w:rsidR="006A6A5B" w:rsidRDefault="006A6A5B" w:rsidP="00BD3533">
      <w:pPr>
        <w:spacing w:after="0" w:line="240" w:lineRule="auto"/>
        <w:jc w:val="both"/>
      </w:pPr>
      <w:r>
        <w:t xml:space="preserve">A lo largo de seis generaciones, Guatefuturo ha enviado en 2008 y 2009 a 9 beneficiarios, en 2010 y 2011 a 16 beneficiarios y en 2012 a 27 beneficiarios. </w:t>
      </w:r>
    </w:p>
    <w:p w:rsidR="006A6A5B" w:rsidRDefault="006A6A5B" w:rsidP="00BD3533">
      <w:pPr>
        <w:spacing w:after="0" w:line="240" w:lineRule="auto"/>
        <w:jc w:val="both"/>
      </w:pPr>
    </w:p>
    <w:p w:rsidR="0081450A" w:rsidRDefault="0081450A" w:rsidP="00BD3533">
      <w:pPr>
        <w:spacing w:after="0" w:line="240" w:lineRule="auto"/>
        <w:jc w:val="both"/>
      </w:pPr>
      <w:r>
        <w:t xml:space="preserve">Guatefuturo es un modelo </w:t>
      </w:r>
      <w:r w:rsidR="00BD3533">
        <w:t xml:space="preserve">institucional </w:t>
      </w:r>
      <w:r>
        <w:t xml:space="preserve">de resultados probados, al traer de regreso a Guatemala a talento capacitado que </w:t>
      </w:r>
      <w:r w:rsidR="00BD3533" w:rsidRPr="00C94036">
        <w:t>contribuye</w:t>
      </w:r>
      <w:r w:rsidRPr="00C94036">
        <w:t xml:space="preserve"> a cambiar  la realidad de nuestro país. El modelo de referencia de la Fundación es Colfuturo, institución que ha demostrado ser exitosa a lo largo de más de 2</w:t>
      </w:r>
      <w:r w:rsidR="00BD3533" w:rsidRPr="00C94036">
        <w:t>1</w:t>
      </w:r>
      <w:r w:rsidRPr="00C94036">
        <w:t xml:space="preserve"> años, enviando más de mil colombianos al año</w:t>
      </w:r>
      <w:r w:rsidR="00BD3533" w:rsidRPr="00C94036">
        <w:t xml:space="preserve"> a las mejores universidades del mundo</w:t>
      </w:r>
      <w:r w:rsidRPr="00C94036">
        <w:t>.</w:t>
      </w:r>
      <w:r w:rsidRPr="00AE46CA">
        <w:t xml:space="preserve"> </w:t>
      </w:r>
    </w:p>
    <w:p w:rsidR="00C91BA1" w:rsidRDefault="00C91BA1" w:rsidP="00730960">
      <w:pPr>
        <w:pStyle w:val="Sinespaciado"/>
        <w:jc w:val="both"/>
        <w:rPr>
          <w:rFonts w:cs="Calibri"/>
        </w:rPr>
      </w:pPr>
    </w:p>
    <w:p w:rsidR="00A22E06" w:rsidRDefault="00A22E06" w:rsidP="00730960">
      <w:pPr>
        <w:pStyle w:val="Sinespaciado"/>
        <w:jc w:val="center"/>
        <w:rPr>
          <w:rFonts w:cs="Calibri"/>
        </w:rPr>
      </w:pPr>
      <w:r>
        <w:rPr>
          <w:rFonts w:cs="Calibri"/>
        </w:rPr>
        <w:t>###</w:t>
      </w:r>
    </w:p>
    <w:p w:rsidR="00C94036" w:rsidRDefault="00C94036" w:rsidP="00730960">
      <w:pPr>
        <w:pStyle w:val="Sinespaciado"/>
        <w:jc w:val="center"/>
        <w:rPr>
          <w:rFonts w:cs="Calibri"/>
        </w:rPr>
      </w:pPr>
    </w:p>
    <w:p w:rsidR="00C94036" w:rsidRPr="002947AE" w:rsidRDefault="00C94036" w:rsidP="00730960">
      <w:pPr>
        <w:pStyle w:val="Sinespaciado"/>
        <w:jc w:val="center"/>
        <w:rPr>
          <w:rFonts w:cs="Calibri"/>
        </w:rPr>
      </w:pPr>
    </w:p>
    <w:p w:rsidR="00C91BA1" w:rsidRPr="00C94036" w:rsidRDefault="00C91BA1" w:rsidP="00730960">
      <w:pPr>
        <w:pStyle w:val="Sinespaciado"/>
        <w:jc w:val="both"/>
        <w:rPr>
          <w:rFonts w:cs="Calibri"/>
          <w:b/>
          <w:sz w:val="18"/>
          <w:szCs w:val="18"/>
        </w:rPr>
      </w:pPr>
      <w:r w:rsidRPr="00C94036">
        <w:rPr>
          <w:rFonts w:cs="Calibri"/>
          <w:b/>
          <w:sz w:val="18"/>
          <w:szCs w:val="18"/>
        </w:rPr>
        <w:t>Acerca de Guatefuturo</w:t>
      </w:r>
    </w:p>
    <w:p w:rsidR="00AC7A12" w:rsidRPr="00C94036" w:rsidRDefault="00C91BA1" w:rsidP="00730960">
      <w:pPr>
        <w:pStyle w:val="Sinespaciado"/>
        <w:jc w:val="both"/>
        <w:rPr>
          <w:rFonts w:cs="Calibri"/>
          <w:sz w:val="18"/>
          <w:szCs w:val="18"/>
        </w:rPr>
      </w:pPr>
      <w:r w:rsidRPr="00C94036">
        <w:rPr>
          <w:rFonts w:cs="Calibri"/>
          <w:sz w:val="18"/>
          <w:szCs w:val="18"/>
        </w:rPr>
        <w:t xml:space="preserve">Es una fundación </w:t>
      </w:r>
      <w:r w:rsidR="00AC7A12" w:rsidRPr="00C94036">
        <w:rPr>
          <w:rFonts w:cs="Calibri"/>
          <w:sz w:val="18"/>
          <w:szCs w:val="18"/>
        </w:rPr>
        <w:t>no</w:t>
      </w:r>
      <w:r w:rsidRPr="00C94036">
        <w:rPr>
          <w:rFonts w:cs="Calibri"/>
          <w:sz w:val="18"/>
          <w:szCs w:val="18"/>
        </w:rPr>
        <w:t xml:space="preserve"> lucr</w:t>
      </w:r>
      <w:r w:rsidR="00AC7A12" w:rsidRPr="00C94036">
        <w:rPr>
          <w:rFonts w:cs="Calibri"/>
          <w:sz w:val="18"/>
          <w:szCs w:val="18"/>
        </w:rPr>
        <w:t>ativa</w:t>
      </w:r>
      <w:r w:rsidRPr="00C94036">
        <w:rPr>
          <w:rFonts w:cs="Calibri"/>
          <w:sz w:val="18"/>
          <w:szCs w:val="18"/>
        </w:rPr>
        <w:t>, inspirada en objetivos educativos, culturales, de capacitación y desarrollo profesional, por medio de la cual se canalizan</w:t>
      </w:r>
      <w:r w:rsidR="00BD3533" w:rsidRPr="00C94036">
        <w:rPr>
          <w:rFonts w:cs="Calibri"/>
          <w:sz w:val="18"/>
          <w:szCs w:val="18"/>
        </w:rPr>
        <w:t xml:space="preserve"> recursos</w:t>
      </w:r>
      <w:r w:rsidRPr="00C94036">
        <w:rPr>
          <w:rFonts w:cs="Calibri"/>
          <w:sz w:val="18"/>
          <w:szCs w:val="18"/>
        </w:rPr>
        <w:t xml:space="preserve"> para </w:t>
      </w:r>
      <w:r w:rsidR="00AC7A12" w:rsidRPr="00C94036">
        <w:rPr>
          <w:rFonts w:cs="Calibri"/>
          <w:sz w:val="18"/>
          <w:szCs w:val="18"/>
        </w:rPr>
        <w:t>que</w:t>
      </w:r>
      <w:r w:rsidRPr="00C94036">
        <w:rPr>
          <w:rFonts w:cs="Calibri"/>
          <w:sz w:val="18"/>
          <w:szCs w:val="18"/>
        </w:rPr>
        <w:t xml:space="preserve"> profesionales guatemaltecos </w:t>
      </w:r>
      <w:r w:rsidR="00BD3533" w:rsidRPr="00C94036">
        <w:rPr>
          <w:rFonts w:cs="Calibri"/>
          <w:sz w:val="18"/>
          <w:szCs w:val="18"/>
        </w:rPr>
        <w:t xml:space="preserve">de excelencia académica </w:t>
      </w:r>
      <w:r w:rsidR="00AC7A12" w:rsidRPr="00C94036">
        <w:rPr>
          <w:rFonts w:cs="Calibri"/>
          <w:sz w:val="18"/>
          <w:szCs w:val="18"/>
        </w:rPr>
        <w:t>puedan optar a</w:t>
      </w:r>
      <w:r w:rsidRPr="00C94036">
        <w:rPr>
          <w:rFonts w:cs="Calibri"/>
          <w:sz w:val="18"/>
          <w:szCs w:val="18"/>
        </w:rPr>
        <w:t xml:space="preserve"> realizar postgrados en el exterior,</w:t>
      </w:r>
      <w:r w:rsidR="00BD3533" w:rsidRPr="00C94036">
        <w:rPr>
          <w:rFonts w:cs="Calibri"/>
          <w:sz w:val="18"/>
          <w:szCs w:val="18"/>
        </w:rPr>
        <w:t xml:space="preserve"> en las mejores universidades del mundo,</w:t>
      </w:r>
      <w:r w:rsidRPr="00C94036">
        <w:rPr>
          <w:rFonts w:cs="Calibri"/>
          <w:sz w:val="18"/>
          <w:szCs w:val="18"/>
        </w:rPr>
        <w:t xml:space="preserve"> </w:t>
      </w:r>
      <w:r w:rsidR="00AC7A12" w:rsidRPr="00C94036">
        <w:rPr>
          <w:rFonts w:cs="Calibri"/>
          <w:sz w:val="18"/>
          <w:szCs w:val="18"/>
        </w:rPr>
        <w:t>a fin de</w:t>
      </w:r>
      <w:r w:rsidRPr="00C94036">
        <w:rPr>
          <w:rFonts w:cs="Calibri"/>
          <w:sz w:val="18"/>
          <w:szCs w:val="18"/>
        </w:rPr>
        <w:t xml:space="preserve"> regresar a trabajar por </w:t>
      </w:r>
      <w:r w:rsidR="00AC7A12" w:rsidRPr="00C94036">
        <w:rPr>
          <w:rFonts w:cs="Calibri"/>
          <w:sz w:val="18"/>
          <w:szCs w:val="18"/>
        </w:rPr>
        <w:t>Guatemala</w:t>
      </w:r>
      <w:r w:rsidRPr="00C94036">
        <w:rPr>
          <w:rFonts w:cs="Calibri"/>
          <w:sz w:val="18"/>
          <w:szCs w:val="18"/>
        </w:rPr>
        <w:t xml:space="preserve">. </w:t>
      </w:r>
    </w:p>
    <w:p w:rsidR="00AC7A12" w:rsidRPr="00C94036" w:rsidRDefault="00AC7A12" w:rsidP="00730960">
      <w:pPr>
        <w:pStyle w:val="Sinespaciado"/>
        <w:jc w:val="both"/>
        <w:rPr>
          <w:rFonts w:cs="Calibri"/>
          <w:sz w:val="18"/>
          <w:szCs w:val="18"/>
        </w:rPr>
      </w:pPr>
    </w:p>
    <w:p w:rsidR="00080036" w:rsidRPr="00C94036" w:rsidRDefault="00080036" w:rsidP="00730960">
      <w:pPr>
        <w:pStyle w:val="Sinespaciado"/>
        <w:jc w:val="both"/>
        <w:rPr>
          <w:rFonts w:cs="Calibri"/>
          <w:sz w:val="18"/>
          <w:szCs w:val="18"/>
          <w:lang w:eastAsia="es-GT"/>
        </w:rPr>
      </w:pPr>
      <w:r w:rsidRPr="00C94036">
        <w:rPr>
          <w:rFonts w:cs="Calibri"/>
          <w:sz w:val="18"/>
          <w:szCs w:val="18"/>
          <w:lang w:eastAsia="es-GT"/>
        </w:rPr>
        <w:t>El Crédito-beca</w:t>
      </w:r>
      <w:r w:rsidR="00AC7A12" w:rsidRPr="00C94036">
        <w:rPr>
          <w:rFonts w:cs="Calibri"/>
          <w:sz w:val="18"/>
          <w:szCs w:val="18"/>
          <w:lang w:eastAsia="es-GT"/>
        </w:rPr>
        <w:t xml:space="preserve">, otorgado </w:t>
      </w:r>
      <w:r w:rsidR="00AC7A12" w:rsidRPr="00C94036">
        <w:rPr>
          <w:sz w:val="18"/>
          <w:szCs w:val="18"/>
          <w:lang w:val="es-ES"/>
        </w:rPr>
        <w:t>luego de un proceso</w:t>
      </w:r>
      <w:r w:rsidR="00BD3533" w:rsidRPr="00C94036">
        <w:rPr>
          <w:sz w:val="18"/>
          <w:szCs w:val="18"/>
          <w:lang w:val="es-ES"/>
        </w:rPr>
        <w:t xml:space="preserve"> de selección anónimo y </w:t>
      </w:r>
      <w:r w:rsidR="00AC7A12" w:rsidRPr="00C94036">
        <w:rPr>
          <w:sz w:val="18"/>
          <w:szCs w:val="18"/>
          <w:lang w:val="es-ES"/>
        </w:rPr>
        <w:t xml:space="preserve"> </w:t>
      </w:r>
      <w:r w:rsidR="00BD3533" w:rsidRPr="00C94036">
        <w:rPr>
          <w:sz w:val="18"/>
          <w:szCs w:val="18"/>
          <w:lang w:val="es-ES"/>
        </w:rPr>
        <w:t>meritocrático</w:t>
      </w:r>
      <w:r w:rsidR="00AC7A12" w:rsidRPr="00C94036">
        <w:rPr>
          <w:sz w:val="18"/>
          <w:szCs w:val="18"/>
          <w:lang w:val="es-ES"/>
        </w:rPr>
        <w:t>,</w:t>
      </w:r>
      <w:r w:rsidRPr="00C94036">
        <w:rPr>
          <w:rFonts w:cs="Calibri"/>
          <w:sz w:val="18"/>
          <w:szCs w:val="18"/>
          <w:lang w:eastAsia="es-GT"/>
        </w:rPr>
        <w:t xml:space="preserve"> puede alcanzar un techo de $25 mil dólares de Estados Unidos de América </w:t>
      </w:r>
      <w:r w:rsidR="00AC7A12" w:rsidRPr="00C94036">
        <w:rPr>
          <w:rFonts w:cs="Calibri"/>
          <w:sz w:val="18"/>
          <w:szCs w:val="18"/>
          <w:lang w:eastAsia="es-GT"/>
        </w:rPr>
        <w:t>anuales</w:t>
      </w:r>
      <w:r w:rsidRPr="00C94036">
        <w:rPr>
          <w:rFonts w:cs="Calibri"/>
          <w:sz w:val="18"/>
          <w:szCs w:val="18"/>
          <w:lang w:eastAsia="es-GT"/>
        </w:rPr>
        <w:t xml:space="preserve">, hasta por dos años, y el beneficiario </w:t>
      </w:r>
      <w:r w:rsidR="00BD3533" w:rsidRPr="00C94036">
        <w:rPr>
          <w:rFonts w:cs="Calibri"/>
          <w:sz w:val="18"/>
          <w:szCs w:val="18"/>
          <w:lang w:eastAsia="es-GT"/>
        </w:rPr>
        <w:t xml:space="preserve">puede llegar a </w:t>
      </w:r>
      <w:r w:rsidR="00AC7A12" w:rsidRPr="00C94036">
        <w:rPr>
          <w:rFonts w:cs="Calibri"/>
          <w:sz w:val="18"/>
          <w:szCs w:val="18"/>
          <w:lang w:eastAsia="es-GT"/>
        </w:rPr>
        <w:t>recib</w:t>
      </w:r>
      <w:r w:rsidR="00BD3533" w:rsidRPr="00C94036">
        <w:rPr>
          <w:rFonts w:cs="Calibri"/>
          <w:sz w:val="18"/>
          <w:szCs w:val="18"/>
          <w:lang w:eastAsia="es-GT"/>
        </w:rPr>
        <w:t>ir</w:t>
      </w:r>
      <w:r w:rsidRPr="00C94036">
        <w:rPr>
          <w:rFonts w:cs="Calibri"/>
          <w:sz w:val="18"/>
          <w:szCs w:val="18"/>
          <w:lang w:eastAsia="es-GT"/>
        </w:rPr>
        <w:t xml:space="preserve"> una condonación de hasta un 60% del crédito</w:t>
      </w:r>
      <w:r w:rsidR="00FA55BF" w:rsidRPr="00C94036">
        <w:rPr>
          <w:rFonts w:cs="Calibri"/>
          <w:sz w:val="18"/>
          <w:szCs w:val="18"/>
          <w:lang w:eastAsia="es-GT"/>
        </w:rPr>
        <w:t>,</w:t>
      </w:r>
      <w:r w:rsidRPr="00C94036">
        <w:rPr>
          <w:rFonts w:cs="Calibri"/>
          <w:sz w:val="18"/>
          <w:szCs w:val="18"/>
          <w:lang w:eastAsia="es-GT"/>
        </w:rPr>
        <w:t xml:space="preserve"> si cumple con los</w:t>
      </w:r>
      <w:r w:rsidR="00BD3533" w:rsidRPr="00C94036">
        <w:rPr>
          <w:rFonts w:cs="Calibri"/>
          <w:sz w:val="18"/>
          <w:szCs w:val="18"/>
          <w:lang w:eastAsia="es-GT"/>
        </w:rPr>
        <w:t xml:space="preserve"> requisitos establecidos en el R</w:t>
      </w:r>
      <w:r w:rsidRPr="00C94036">
        <w:rPr>
          <w:rFonts w:cs="Calibri"/>
          <w:sz w:val="18"/>
          <w:szCs w:val="18"/>
          <w:lang w:eastAsia="es-GT"/>
        </w:rPr>
        <w:t>eglamento</w:t>
      </w:r>
      <w:r w:rsidR="00FA55BF" w:rsidRPr="00C94036">
        <w:rPr>
          <w:rFonts w:cs="Calibri"/>
          <w:sz w:val="18"/>
          <w:szCs w:val="18"/>
          <w:lang w:eastAsia="es-GT"/>
        </w:rPr>
        <w:t xml:space="preserve"> del Programa de Crédito-beca</w:t>
      </w:r>
      <w:r w:rsidRPr="00C94036">
        <w:rPr>
          <w:rFonts w:cs="Calibri"/>
          <w:sz w:val="18"/>
          <w:szCs w:val="18"/>
          <w:lang w:eastAsia="es-GT"/>
        </w:rPr>
        <w:t>.</w:t>
      </w:r>
    </w:p>
    <w:p w:rsidR="00080036" w:rsidRPr="00C94036" w:rsidRDefault="00080036" w:rsidP="00730960">
      <w:pPr>
        <w:pStyle w:val="Sinespaciado"/>
        <w:jc w:val="both"/>
        <w:rPr>
          <w:rFonts w:cs="Calibri"/>
          <w:sz w:val="18"/>
          <w:szCs w:val="18"/>
          <w:lang w:eastAsia="es-GT"/>
        </w:rPr>
      </w:pPr>
    </w:p>
    <w:p w:rsidR="00FA55BF" w:rsidRPr="00C94036" w:rsidRDefault="00FA55BF" w:rsidP="00730960">
      <w:pPr>
        <w:pStyle w:val="Sinespaciado"/>
        <w:jc w:val="both"/>
        <w:rPr>
          <w:rFonts w:cs="Calibri"/>
          <w:b/>
          <w:sz w:val="18"/>
          <w:szCs w:val="18"/>
          <w:lang w:eastAsia="es-GT"/>
        </w:rPr>
      </w:pPr>
    </w:p>
    <w:p w:rsidR="00A22E06" w:rsidRPr="00C94036" w:rsidRDefault="00A22E06" w:rsidP="00C94036">
      <w:pPr>
        <w:pStyle w:val="Sinespaciado"/>
        <w:jc w:val="right"/>
        <w:rPr>
          <w:rFonts w:cs="Calibri"/>
          <w:sz w:val="18"/>
          <w:szCs w:val="18"/>
          <w:lang w:eastAsia="es-GT"/>
        </w:rPr>
      </w:pPr>
      <w:r w:rsidRPr="00C94036">
        <w:rPr>
          <w:rFonts w:cs="Calibri"/>
          <w:b/>
          <w:sz w:val="18"/>
          <w:szCs w:val="18"/>
          <w:lang w:eastAsia="es-GT"/>
        </w:rPr>
        <w:t>Contacto Medios</w:t>
      </w:r>
    </w:p>
    <w:p w:rsidR="00A22E06" w:rsidRPr="00C94036" w:rsidRDefault="00A22E06" w:rsidP="00C94036">
      <w:pPr>
        <w:pStyle w:val="Sinespaciado"/>
        <w:jc w:val="right"/>
        <w:rPr>
          <w:rFonts w:cs="Calibri"/>
          <w:sz w:val="18"/>
          <w:szCs w:val="18"/>
          <w:lang w:eastAsia="es-GT"/>
        </w:rPr>
      </w:pPr>
      <w:r w:rsidRPr="00C94036">
        <w:rPr>
          <w:rFonts w:cs="Calibri"/>
          <w:sz w:val="18"/>
          <w:szCs w:val="18"/>
          <w:lang w:eastAsia="es-GT"/>
        </w:rPr>
        <w:t xml:space="preserve">Denise Mansilla </w:t>
      </w:r>
    </w:p>
    <w:p w:rsidR="00A22E06" w:rsidRPr="00C94036" w:rsidRDefault="00A22E06" w:rsidP="00C94036">
      <w:pPr>
        <w:pStyle w:val="Sinespaciado"/>
        <w:jc w:val="right"/>
        <w:rPr>
          <w:rFonts w:cs="Calibri"/>
          <w:sz w:val="18"/>
          <w:szCs w:val="18"/>
          <w:lang w:eastAsia="es-GT"/>
        </w:rPr>
      </w:pPr>
      <w:r w:rsidRPr="00C94036">
        <w:rPr>
          <w:rFonts w:cs="Calibri"/>
          <w:sz w:val="18"/>
          <w:szCs w:val="18"/>
          <w:lang w:eastAsia="es-GT"/>
        </w:rPr>
        <w:t>Tel: 5202-4716</w:t>
      </w:r>
    </w:p>
    <w:p w:rsidR="00A22E06" w:rsidRPr="00C94036" w:rsidRDefault="0082570F" w:rsidP="00C94036">
      <w:pPr>
        <w:pStyle w:val="Sinespaciado"/>
        <w:jc w:val="right"/>
        <w:rPr>
          <w:rFonts w:cs="Calibri"/>
          <w:sz w:val="18"/>
          <w:szCs w:val="18"/>
          <w:lang w:eastAsia="es-GT"/>
        </w:rPr>
      </w:pPr>
      <w:hyperlink r:id="rId7" w:history="1">
        <w:r w:rsidR="00A22E06" w:rsidRPr="00C94036">
          <w:rPr>
            <w:rStyle w:val="Hipervnculo"/>
            <w:rFonts w:cs="Calibri"/>
            <w:sz w:val="18"/>
            <w:szCs w:val="18"/>
            <w:lang w:eastAsia="es-GT"/>
          </w:rPr>
          <w:t>denise.mansilla@gmail.com</w:t>
        </w:r>
      </w:hyperlink>
      <w:r w:rsidR="00A22E06" w:rsidRPr="00C94036">
        <w:rPr>
          <w:rFonts w:cs="Calibri"/>
          <w:sz w:val="18"/>
          <w:szCs w:val="18"/>
          <w:lang w:eastAsia="es-GT"/>
        </w:rPr>
        <w:t xml:space="preserve"> </w:t>
      </w:r>
    </w:p>
    <w:p w:rsidR="00A22E06" w:rsidRPr="00C94036" w:rsidRDefault="00A22E06" w:rsidP="00C94036">
      <w:pPr>
        <w:pStyle w:val="Sinespaciado"/>
        <w:jc w:val="right"/>
        <w:rPr>
          <w:rFonts w:cs="Calibri"/>
          <w:b/>
          <w:sz w:val="18"/>
          <w:szCs w:val="18"/>
          <w:lang w:eastAsia="es-GT"/>
        </w:rPr>
      </w:pPr>
    </w:p>
    <w:p w:rsidR="00C91BA1" w:rsidRPr="00C94036" w:rsidRDefault="00C91BA1" w:rsidP="00C94036">
      <w:pPr>
        <w:pStyle w:val="Sinespaciado"/>
        <w:jc w:val="right"/>
        <w:rPr>
          <w:rFonts w:cs="Calibri"/>
          <w:b/>
          <w:sz w:val="18"/>
          <w:szCs w:val="18"/>
          <w:lang w:eastAsia="es-GT"/>
        </w:rPr>
      </w:pPr>
      <w:r w:rsidRPr="00C94036">
        <w:rPr>
          <w:rFonts w:cs="Calibri"/>
          <w:b/>
          <w:sz w:val="18"/>
          <w:szCs w:val="18"/>
          <w:lang w:eastAsia="es-GT"/>
        </w:rPr>
        <w:t xml:space="preserve">Contacto </w:t>
      </w:r>
      <w:r w:rsidR="00A22E06" w:rsidRPr="00C94036">
        <w:rPr>
          <w:rFonts w:cs="Calibri"/>
          <w:b/>
          <w:sz w:val="18"/>
          <w:szCs w:val="18"/>
          <w:lang w:eastAsia="es-GT"/>
        </w:rPr>
        <w:t>Guatefuturo</w:t>
      </w:r>
      <w:r w:rsidRPr="00C94036">
        <w:rPr>
          <w:rFonts w:cs="Calibri"/>
          <w:b/>
          <w:sz w:val="18"/>
          <w:szCs w:val="18"/>
          <w:lang w:eastAsia="es-GT"/>
        </w:rPr>
        <w:t>:</w:t>
      </w:r>
    </w:p>
    <w:p w:rsidR="00C91BA1" w:rsidRPr="00C94036" w:rsidRDefault="00424A5A" w:rsidP="00C94036">
      <w:pPr>
        <w:pStyle w:val="Sinespaciado"/>
        <w:jc w:val="right"/>
        <w:rPr>
          <w:rFonts w:cs="Calibri"/>
          <w:sz w:val="18"/>
          <w:szCs w:val="18"/>
        </w:rPr>
      </w:pPr>
      <w:r w:rsidRPr="00C94036">
        <w:rPr>
          <w:rFonts w:cs="Calibri"/>
          <w:sz w:val="18"/>
          <w:szCs w:val="18"/>
        </w:rPr>
        <w:t>Yolani Soto</w:t>
      </w:r>
    </w:p>
    <w:p w:rsidR="00C91BA1" w:rsidRPr="00C94036" w:rsidRDefault="00C91BA1" w:rsidP="00C94036">
      <w:pPr>
        <w:pStyle w:val="Sinespaciado"/>
        <w:jc w:val="right"/>
        <w:rPr>
          <w:rFonts w:cs="Calibri"/>
          <w:sz w:val="18"/>
          <w:szCs w:val="18"/>
        </w:rPr>
      </w:pPr>
      <w:r w:rsidRPr="00C94036">
        <w:rPr>
          <w:rFonts w:cs="Calibri"/>
          <w:sz w:val="18"/>
          <w:szCs w:val="18"/>
          <w:lang w:eastAsia="es-GT"/>
        </w:rPr>
        <w:t xml:space="preserve">Tel.: (502) </w:t>
      </w:r>
      <w:r w:rsidR="00424A5A" w:rsidRPr="00C94036">
        <w:rPr>
          <w:rFonts w:cs="Calibri"/>
          <w:sz w:val="18"/>
          <w:szCs w:val="18"/>
        </w:rPr>
        <w:t>2422-5894</w:t>
      </w:r>
    </w:p>
    <w:p w:rsidR="00C91BA1" w:rsidRDefault="0082570F" w:rsidP="00C94036">
      <w:pPr>
        <w:pStyle w:val="Sinespaciado"/>
        <w:jc w:val="right"/>
        <w:rPr>
          <w:sz w:val="18"/>
          <w:szCs w:val="18"/>
        </w:rPr>
      </w:pPr>
      <w:hyperlink r:id="rId8" w:history="1">
        <w:r w:rsidR="00A373CC" w:rsidRPr="00C94036">
          <w:rPr>
            <w:rStyle w:val="Hipervnculo"/>
            <w:rFonts w:cs="Calibri"/>
            <w:sz w:val="18"/>
            <w:szCs w:val="18"/>
          </w:rPr>
          <w:t>yolani.soto@guatefuturo.org</w:t>
        </w:r>
      </w:hyperlink>
    </w:p>
    <w:p w:rsidR="00C94036" w:rsidRDefault="00C94036" w:rsidP="00E81780">
      <w:pPr>
        <w:pStyle w:val="Sinespaciado"/>
        <w:jc w:val="both"/>
        <w:rPr>
          <w:sz w:val="18"/>
          <w:szCs w:val="18"/>
        </w:rPr>
      </w:pPr>
    </w:p>
    <w:p w:rsidR="00C94036" w:rsidRDefault="00C94036" w:rsidP="00E81780">
      <w:pPr>
        <w:pStyle w:val="Sinespaciado"/>
        <w:jc w:val="both"/>
        <w:rPr>
          <w:sz w:val="18"/>
          <w:szCs w:val="18"/>
        </w:rPr>
      </w:pPr>
    </w:p>
    <w:p w:rsidR="00C94036" w:rsidRPr="00C94036" w:rsidRDefault="00C94036" w:rsidP="00E81780">
      <w:pPr>
        <w:pStyle w:val="Sinespaciado"/>
        <w:jc w:val="both"/>
        <w:rPr>
          <w:rFonts w:cs="Calibri"/>
          <w:sz w:val="18"/>
          <w:szCs w:val="18"/>
        </w:rPr>
      </w:pPr>
    </w:p>
    <w:tbl>
      <w:tblPr>
        <w:tblW w:w="10349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7"/>
        <w:gridCol w:w="708"/>
        <w:gridCol w:w="2552"/>
        <w:gridCol w:w="1559"/>
        <w:gridCol w:w="1701"/>
        <w:gridCol w:w="1276"/>
      </w:tblGrid>
      <w:tr w:rsidR="006E18CC" w:rsidRPr="001F776B" w:rsidTr="00652025">
        <w:trPr>
          <w:trHeight w:val="42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GT"/>
              </w:rPr>
              <w:t>Sexta Generación de Beneficiarios del Programa de Crédito-beca PCB 2013</w:t>
            </w:r>
          </w:p>
        </w:tc>
      </w:tr>
      <w:tr w:rsidR="006E18CC" w:rsidRPr="001F776B" w:rsidTr="00652025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6E18CC" w:rsidRPr="001F776B" w:rsidTr="00652025">
        <w:trPr>
          <w:trHeight w:val="765"/>
        </w:trPr>
        <w:tc>
          <w:tcPr>
            <w:tcW w:w="1276" w:type="dxa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000000" w:fill="FFFFFF"/>
            <w:vAlign w:val="center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  <w:t>Nombres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000000" w:fill="FFFFFF"/>
            <w:vAlign w:val="center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  <w:t>Apellidos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000000" w:fill="FFFFFF"/>
            <w:vAlign w:val="center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  <w:t xml:space="preserve">Tipo </w:t>
            </w:r>
            <w:r w:rsidRPr="001F7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  <w:br/>
              <w:t>Postgrado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000000" w:fill="FFFFFF"/>
            <w:vAlign w:val="center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  <w:t>Nombre Postgrado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000000" w:fill="FFFFFF"/>
            <w:vAlign w:val="center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  <w:t xml:space="preserve">Área </w:t>
            </w:r>
            <w:r w:rsidRPr="001F7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  <w:br/>
              <w:t>Postgrado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000000" w:fill="FFFFFF"/>
            <w:vAlign w:val="center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  <w:t>Universidad</w:t>
            </w:r>
            <w:r w:rsidRPr="001F7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  <w:br/>
              <w:t>Postgrado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000000" w:fill="FFFFFF"/>
            <w:vAlign w:val="center"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  <w:t xml:space="preserve">País </w:t>
            </w:r>
            <w:r w:rsidRPr="001F7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GT"/>
              </w:rPr>
              <w:br/>
              <w:t>Postgrado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Amalia Carolina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Girón Callejas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Master of Science in Molecular Medical Microbiology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de la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University of Nottingham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Reino Unido</w:t>
            </w:r>
          </w:p>
        </w:tc>
      </w:tr>
      <w:tr w:rsidR="006E18CC" w:rsidRPr="001F776B" w:rsidTr="00652025">
        <w:trPr>
          <w:trHeight w:val="9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Ana Beatriz del Rosario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Ramírez Bathen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Master of Science (MSc) in Globalization-Global Production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Ingeniería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Norwegian University of Science and Technology (NTNU)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Noruega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Andrea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Morales Polanco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C94036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Máster</w:t>
            </w:r>
            <w:r w:rsidR="006E18CC"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 xml:space="preserve"> de Periodismo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Sociales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Universidad Autónoma de Madrid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España</w:t>
            </w:r>
          </w:p>
        </w:tc>
      </w:tr>
      <w:tr w:rsidR="006E18CC" w:rsidRPr="001F776B" w:rsidTr="00652025">
        <w:trPr>
          <w:trHeight w:val="9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Andrea María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García Velásquez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Magíster en Nutrición y Alimentos, Mención Alimentos Saludables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de la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Universidad de Chile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Chile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Andrea Virginia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Castillo Herrera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C94036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Máster</w:t>
            </w:r>
            <w:r w:rsidR="006E18CC"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 xml:space="preserve"> Universitario en Gestión Integral de la Construcción MGIC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Arquitectura y Diseño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 xml:space="preserve">La Salle </w:t>
            </w:r>
            <w:r w:rsidR="00C94036"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Ramón</w:t>
            </w: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 xml:space="preserve"> LLULL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España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Andrés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Anleu Vásquez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Master of Architecture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Arquitectura y Diseño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University of Michigan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Estados Unidos de América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Boris Roberto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Ruiz Palma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Game and Media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Ingeniería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Universiteit Utrecht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Holanda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Christian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Skinner-Klée Sol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LL.M. Program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Derecho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Columbia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Estados Unidos de América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Claudia Lucía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Del Cid Chúa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Otorrinolaringología y Cirugía de Cabeza y Cuello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de la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Universidad de Guadalajara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México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Claudia María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Carpio Bonilla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Odontopediatr</w:t>
            </w:r>
            <w:r w:rsidR="00C94036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de la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Universidade de São Paulo, Brasil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Brasil</w:t>
            </w:r>
          </w:p>
        </w:tc>
      </w:tr>
      <w:tr w:rsidR="006E18CC" w:rsidRPr="001F776B" w:rsidTr="00652025">
        <w:trPr>
          <w:trHeight w:val="9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Eduardo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Castellanos Najera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Master's Programme in Security and Mobile Computing -NordSecMob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Ingeniería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Aalto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Finlandia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Enrique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González Barillas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Master of Engineering in Civil Engineering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Ingeniería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University of British Columbia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Canad</w:t>
            </w:r>
            <w:r w:rsidR="00C94036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á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Gilda María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Rodríguez Gil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M.B.A.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Administración y Negocios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INCAE Business School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Costa Rica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Guillermo Ivan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Paz Lemus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Sub-especialización en Cardiología Pediátrica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de la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Technische Universität München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Alemania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Javier Enrique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Bauer Herbruger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LL.M. Competition Innovation and Information Law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Derecho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New York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Estados Unidos de América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lastRenderedPageBreak/>
              <w:t>Jose Fernando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Diaz Munoz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Master of Architecture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Arquitectura y Diseño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Unitec - Institute of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Nueva Zelanda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Juan Carlos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Foncea Ferraté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Master of Advance Studies in International Tax Law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Derecho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Leiden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Holanda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Julio Alberto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Espinoza Obregón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M.B.A.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Administración y Negocios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INCAE Business School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Nicaragua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Katherine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Schippers Funes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M.B.A.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Administración y Negocios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INCAE Business School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Costa Rica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Laura Inés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Yuman Reckholder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Magister en Psicología Clínica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de la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Pontificia Universidad Católica de Chile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Chile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Leandro Mauricio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Porras Molina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Master in Service Design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Administración y Negocios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Politecnico di Milano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Italia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Leslie Alejandra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Villatoro Amezquita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 xml:space="preserve">Subespecialidad en </w:t>
            </w:r>
            <w:r w:rsidR="00C94036"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Neumología</w:t>
            </w: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r w:rsidR="00C94036"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Pediátrica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de la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Universidad Nacional Autónoma de Mexico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México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Lorena María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Arathoon Knoke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Two-Year MBA Program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Administración y Negocios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Northwestern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Estados Unidos de América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Lucía José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Estrada Barrientos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Master in Industrial Economics and Markets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Economía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Universidad Carlos III de Madrid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España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Luis Eduardo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Barrueto Wittig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Masters in Journalism, Media and Globalisation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Sociales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Aarhus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Dinamarca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Marco Aurelio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Urizar Valdez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MSc International Trade Finance &amp; Development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Economía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Barcelona Graduate School of Economics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España</w:t>
            </w:r>
          </w:p>
        </w:tc>
      </w:tr>
      <w:tr w:rsidR="006E18CC" w:rsidRPr="001F776B" w:rsidTr="00652025">
        <w:trPr>
          <w:trHeight w:val="9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Maria Alejandra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Palma Morales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Democracy and Comparative Politics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Políticas y Relaciones Internacionales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University of College London UCL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Reino Unido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María Andrea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Valladares Noguera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Master's Degree Program in Creative Sustainability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Arquitectura y Diseño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Universidad de Aalto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Finlandia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María Belén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Méndez Bauer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Maestría en Estudios Mesoamericanos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Sociales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 xml:space="preserve">Universidad </w:t>
            </w:r>
            <w:r w:rsidR="00C94036"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Autónoma</w:t>
            </w: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 xml:space="preserve"> de México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México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Mariana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 xml:space="preserve">Diaz </w:t>
            </w:r>
            <w:r w:rsidR="00C94036"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Muñoz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M.B.A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Administración y Negocios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Columbia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Estados Unidos de América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Mariel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Arvizu Boy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Maestría en Epidemiología Nutricional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de la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Harvard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Estados Unidos de América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Marya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Izquierdo Bloemen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M.B.A. International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Administración y Negocios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Erasmus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Holanda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Melissa Ceydee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Echeverria de la Roca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LL.M American Law Program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Derecho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Boston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Estados Unidos de América</w:t>
            </w:r>
          </w:p>
        </w:tc>
      </w:tr>
      <w:tr w:rsidR="006E18CC" w:rsidRPr="001F776B" w:rsidTr="00652025">
        <w:trPr>
          <w:trHeight w:val="9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lastRenderedPageBreak/>
              <w:t>Nancy Judith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Robledo Silva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Magíster en Nutrición y Alimentos, Mención Alimentos Saludables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de la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Universidad de Chile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Chile</w:t>
            </w:r>
          </w:p>
        </w:tc>
      </w:tr>
      <w:tr w:rsidR="006E18CC" w:rsidRPr="001F776B" w:rsidTr="00652025">
        <w:trPr>
          <w:trHeight w:val="9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Raúl Andrés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Soto Peralta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Master of Pulbic Administration in Development Practice (MPA MDP)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Ciencias Políticas y Relaciones Internacionales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Columbia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Estados Unidos de América</w:t>
            </w:r>
          </w:p>
        </w:tc>
      </w:tr>
      <w:tr w:rsidR="006E18CC" w:rsidRPr="001F776B" w:rsidTr="00652025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Sandra Patricia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Monterroso Juárez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18CC" w:rsidRPr="001F776B" w:rsidRDefault="006E18CC" w:rsidP="006520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PHD in Practice program at the Academy of Fines Arts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val="en-US" w:eastAsia="es-GT"/>
              </w:rPr>
              <w:t>Akademie der Bildenden Künste Wien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18CC" w:rsidRPr="001F776B" w:rsidRDefault="006E18CC" w:rsidP="006520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GT"/>
              </w:rPr>
            </w:pPr>
            <w:r w:rsidRPr="001F776B">
              <w:rPr>
                <w:rFonts w:eastAsia="Times New Roman"/>
                <w:color w:val="000000"/>
                <w:sz w:val="18"/>
                <w:szCs w:val="18"/>
                <w:lang w:eastAsia="es-GT"/>
              </w:rPr>
              <w:t>Austria</w:t>
            </w:r>
          </w:p>
        </w:tc>
      </w:tr>
    </w:tbl>
    <w:p w:rsidR="00A373CC" w:rsidRDefault="00A373CC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Pr="00652025" w:rsidRDefault="00652025" w:rsidP="00E81780">
      <w:pPr>
        <w:pStyle w:val="Sinespaciado"/>
        <w:jc w:val="both"/>
        <w:rPr>
          <w:rFonts w:cs="Calibri"/>
          <w:b/>
          <w:sz w:val="28"/>
          <w:szCs w:val="28"/>
        </w:rPr>
      </w:pPr>
      <w:r w:rsidRPr="00652025">
        <w:rPr>
          <w:rFonts w:cs="Calibri"/>
          <w:b/>
          <w:sz w:val="28"/>
          <w:szCs w:val="28"/>
        </w:rPr>
        <w:lastRenderedPageBreak/>
        <w:t>Estadísticas 2013</w:t>
      </w: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tbl>
      <w:tblPr>
        <w:tblW w:w="59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76"/>
        <w:gridCol w:w="1216"/>
        <w:gridCol w:w="1216"/>
      </w:tblGrid>
      <w:tr w:rsidR="00652025" w:rsidRPr="00652025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Solicitudes recibidas PCB 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</w:tr>
      <w:tr w:rsidR="00652025" w:rsidRPr="00652025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Solicitudes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Beneficiarios</w:t>
            </w:r>
          </w:p>
        </w:tc>
      </w:tr>
      <w:tr w:rsidR="00652025" w:rsidRPr="00652025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Femenino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42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22 </w:t>
            </w:r>
          </w:p>
        </w:tc>
      </w:tr>
      <w:tr w:rsidR="00652025" w:rsidRPr="00652025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Masculino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37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14 </w:t>
            </w:r>
          </w:p>
        </w:tc>
      </w:tr>
      <w:tr w:rsidR="00652025" w:rsidRPr="00652025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nil"/>
              <w:right w:val="single" w:sz="4" w:space="0" w:color="FAC090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  <w:t xml:space="preserve">                    79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  <w:t xml:space="preserve">                    36 </w:t>
            </w:r>
          </w:p>
        </w:tc>
      </w:tr>
    </w:tbl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tbl>
      <w:tblPr>
        <w:tblW w:w="59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76"/>
        <w:gridCol w:w="1216"/>
        <w:gridCol w:w="1216"/>
      </w:tblGrid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Tipo de Programa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Solicitudes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Beneficiarios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Doctorado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Especialización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3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Maestría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73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32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nil"/>
              <w:right w:val="single" w:sz="4" w:space="0" w:color="FAC090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  <w:t xml:space="preserve">                    79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  <w:t xml:space="preserve">                    36 </w:t>
            </w:r>
          </w:p>
        </w:tc>
      </w:tr>
    </w:tbl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tbl>
      <w:tblPr>
        <w:tblW w:w="59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76"/>
        <w:gridCol w:w="1216"/>
        <w:gridCol w:w="1216"/>
      </w:tblGrid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Área de estudio</w:t>
            </w:r>
          </w:p>
          <w:p w:rsidR="007F46A0" w:rsidRPr="007F46A0" w:rsidRDefault="007F46A0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Solicitudes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Beneficiarios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Administración y Negocios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30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7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Arquitectura y Diseño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4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Artes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Ciencias Básicas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Ciencias de la Salud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15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9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Ciencias Políticas y Relaciones Internacionales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Ciencias Sociales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3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Derecho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4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Economía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Ingeniería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4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nil"/>
              <w:right w:val="single" w:sz="4" w:space="0" w:color="FAC090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  <w:t xml:space="preserve">                    79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  <w:t xml:space="preserve">                    36 </w:t>
            </w:r>
          </w:p>
        </w:tc>
      </w:tr>
    </w:tbl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tbl>
      <w:tblPr>
        <w:tblW w:w="59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76"/>
        <w:gridCol w:w="1216"/>
        <w:gridCol w:w="1216"/>
      </w:tblGrid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Idioma del programa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Solicitudes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Beneficiarios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Alemán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4" w:space="0" w:color="FAC090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1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Español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39</w:t>
            </w:r>
          </w:p>
        </w:tc>
        <w:tc>
          <w:tcPr>
            <w:tcW w:w="1216" w:type="dxa"/>
            <w:tcBorders>
              <w:top w:val="nil"/>
              <w:left w:val="single" w:sz="4" w:space="0" w:color="FAC090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11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E46D0A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Español e Inglés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4" w:space="0" w:color="FAC090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0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Inglés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37</w:t>
            </w:r>
          </w:p>
        </w:tc>
        <w:tc>
          <w:tcPr>
            <w:tcW w:w="1216" w:type="dxa"/>
            <w:tcBorders>
              <w:top w:val="nil"/>
              <w:left w:val="single" w:sz="4" w:space="0" w:color="FAC090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23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Portugués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4" w:space="0" w:color="FAC090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1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nil"/>
              <w:right w:val="single" w:sz="4" w:space="0" w:color="FAC090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  <w:t xml:space="preserve">                    79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  <w:t xml:space="preserve">                    36 </w:t>
            </w:r>
          </w:p>
        </w:tc>
      </w:tr>
    </w:tbl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tbl>
      <w:tblPr>
        <w:tblW w:w="59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76"/>
        <w:gridCol w:w="1216"/>
        <w:gridCol w:w="1216"/>
      </w:tblGrid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 xml:space="preserve">País de destino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 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Solicitudes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Beneficiarios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single" w:sz="4" w:space="0" w:color="FAC090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Alemania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Argentina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Australia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Austria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Brasil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Canadá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Chile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3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Costa Rica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Dinamarca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España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19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4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Estados Unidos de América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14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8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Finlandia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Francia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Holanda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3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Italia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México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3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Nicaragua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Noruega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Nueva Zelanda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Reino Unido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nil"/>
              <w:right w:val="single" w:sz="4" w:space="0" w:color="FAC090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  <w:t xml:space="preserve">                    79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  <w:t xml:space="preserve">                    36 </w:t>
            </w:r>
          </w:p>
        </w:tc>
      </w:tr>
    </w:tbl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p w:rsidR="00652025" w:rsidRDefault="00652025" w:rsidP="00E81780">
      <w:pPr>
        <w:pStyle w:val="Sinespaciado"/>
        <w:jc w:val="both"/>
        <w:rPr>
          <w:rFonts w:cs="Calibri"/>
          <w:sz w:val="20"/>
          <w:szCs w:val="20"/>
        </w:rPr>
      </w:pPr>
    </w:p>
    <w:tbl>
      <w:tblPr>
        <w:tblW w:w="59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76"/>
        <w:gridCol w:w="1216"/>
        <w:gridCol w:w="1216"/>
      </w:tblGrid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Universidad de Destino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nil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Solicitudes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GT"/>
              </w:rPr>
              <w:t>Beneficiarios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Aix Marseille Université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single" w:sz="4" w:space="0" w:color="FAC090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 Akademie der Bildenden Künste Wien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                      </w:t>
            </w: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Babson College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 Barcelona Graduate School of Economics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                      </w:t>
            </w: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Boston University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465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7F46A0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Centro de Estudios Superiores de </w:t>
            </w:r>
          </w:p>
          <w:p w:rsidR="00652025" w:rsidRPr="007F46A0" w:rsidRDefault="007F46A0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</w:t>
            </w:r>
            <w:r w:rsidR="00652025"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Ortodoncia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Columbia University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3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EAE Business School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Erasmus Mundus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Erasmus University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ESADE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 ESC Burgundy School of Business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                      </w:t>
            </w: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Harvard University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INCAE Business School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12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3 </w:t>
            </w:r>
          </w:p>
        </w:tc>
      </w:tr>
      <w:tr w:rsidR="00652025" w:rsidRPr="007F46A0" w:rsidTr="00652025">
        <w:trPr>
          <w:trHeight w:val="69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Instituto Superior de Estudios Psicológicos</w:t>
            </w:r>
          </w:p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Centro vinculado a la Universitat de VIC </w:t>
            </w:r>
          </w:p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(UVIC)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La Salle Ramon LLULL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Leiden University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465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7F46A0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 London School of Economics and Political </w:t>
            </w:r>
          </w:p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Science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                      </w:t>
            </w: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New England Conservatory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New York University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Northwestern University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465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7F46A0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 Norwegian University of Science and </w:t>
            </w:r>
          </w:p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Technology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                      </w:t>
            </w: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Politecnico di Milano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Pontificia Universidad Católica de Chile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Technische Universität München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The University of Queensland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Unitec - Institute of Technology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Adolfo Ibañez    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Autónoma de Barcelona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Autónoma de Madrid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Carlos III de Madrid     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Computense de Madrid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de Aalto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lastRenderedPageBreak/>
              <w:t xml:space="preserve"> Universidad de Alicante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de Barcelona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de Chile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de Granada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de Guadalajara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de Sevilla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de Turku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del Salvador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465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Nacional Autónoma de</w:t>
            </w:r>
          </w:p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México    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</w:tr>
      <w:tr w:rsidR="00652025" w:rsidRPr="007F46A0" w:rsidTr="00652025">
        <w:trPr>
          <w:trHeight w:val="465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Pontificia de Comillas en</w:t>
            </w:r>
          </w:p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Madrid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Universidad de São Paulo, Brasil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Universitat Pompeu Fabra    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Universiteit Utrecht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University of British Columbia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 University of College London UCL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val="en-US" w:eastAsia="es-GT"/>
              </w:rPr>
              <w:t xml:space="preserve">                      </w:t>
            </w: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University of Essex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University of Michigan    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University of Notthingham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University of Pennsylvania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University of St Andrews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000000" w:fill="FFFFFF"/>
            <w:vAlign w:val="bottom"/>
            <w:hideMark/>
          </w:tcPr>
          <w:p w:rsidR="00652025" w:rsidRPr="007F46A0" w:rsidRDefault="00652025" w:rsidP="007F46A0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University of Strathclyde 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single" w:sz="4" w:space="0" w:color="FAC090"/>
              <w:right w:val="single" w:sz="4" w:space="0" w:color="FAC09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FAC090"/>
              <w:right w:val="single" w:sz="8" w:space="0" w:color="FF6600"/>
            </w:tcBorders>
            <w:shd w:val="clear" w:color="000000" w:fill="FDE9D9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 xml:space="preserve">                      - </w:t>
            </w:r>
          </w:p>
        </w:tc>
      </w:tr>
      <w:tr w:rsidR="00652025" w:rsidRPr="007F46A0" w:rsidTr="00652025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FF6600"/>
              <w:bottom w:val="nil"/>
              <w:right w:val="single" w:sz="4" w:space="0" w:color="FAC090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  <w:t xml:space="preserve">                    79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FF6600"/>
            </w:tcBorders>
            <w:shd w:val="clear" w:color="000000" w:fill="FFFFFF"/>
            <w:noWrap/>
            <w:vAlign w:val="bottom"/>
            <w:hideMark/>
          </w:tcPr>
          <w:p w:rsidR="00652025" w:rsidRPr="007F46A0" w:rsidRDefault="00652025" w:rsidP="006520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</w:pPr>
            <w:r w:rsidRPr="007F46A0">
              <w:rPr>
                <w:rFonts w:asciiTheme="minorHAnsi" w:eastAsia="Times New Roman" w:hAnsiTheme="minorHAnsi" w:cs="Arial"/>
                <w:b/>
                <w:bCs/>
                <w:color w:val="F79646"/>
                <w:sz w:val="18"/>
                <w:szCs w:val="18"/>
                <w:lang w:eastAsia="es-GT"/>
              </w:rPr>
              <w:t xml:space="preserve">                    36 </w:t>
            </w:r>
          </w:p>
        </w:tc>
      </w:tr>
    </w:tbl>
    <w:p w:rsidR="00652025" w:rsidRPr="007F46A0" w:rsidRDefault="00652025" w:rsidP="00E81780">
      <w:pPr>
        <w:pStyle w:val="Sinespaciado"/>
        <w:jc w:val="both"/>
        <w:rPr>
          <w:rFonts w:asciiTheme="minorHAnsi" w:hAnsiTheme="minorHAnsi" w:cs="Calibri"/>
          <w:sz w:val="18"/>
          <w:szCs w:val="18"/>
        </w:rPr>
      </w:pPr>
    </w:p>
    <w:sectPr w:rsidR="00652025" w:rsidRPr="007F46A0" w:rsidSect="007A05F5">
      <w:headerReference w:type="default" r:id="rId9"/>
      <w:footerReference w:type="even" r:id="rId10"/>
      <w:footerReference w:type="default" r:id="rId11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AA" w:rsidRDefault="003F48AA" w:rsidP="00106718">
      <w:pPr>
        <w:spacing w:after="0" w:line="240" w:lineRule="auto"/>
      </w:pPr>
      <w:r>
        <w:separator/>
      </w:r>
    </w:p>
  </w:endnote>
  <w:endnote w:type="continuationSeparator" w:id="1">
    <w:p w:rsidR="003F48AA" w:rsidRDefault="003F48AA" w:rsidP="0010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5D" w:rsidRDefault="0082570F" w:rsidP="001964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5E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5E5D" w:rsidRDefault="00025E5D" w:rsidP="00B802F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5D" w:rsidRDefault="0082570F" w:rsidP="001964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5E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686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5E5D" w:rsidRDefault="00025E5D" w:rsidP="00B802F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AA" w:rsidRDefault="003F48AA" w:rsidP="00106718">
      <w:pPr>
        <w:spacing w:after="0" w:line="240" w:lineRule="auto"/>
      </w:pPr>
      <w:r>
        <w:separator/>
      </w:r>
    </w:p>
  </w:footnote>
  <w:footnote w:type="continuationSeparator" w:id="1">
    <w:p w:rsidR="003F48AA" w:rsidRDefault="003F48AA" w:rsidP="0010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5D" w:rsidRDefault="00025E5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1671320" cy="9055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5E5D" w:rsidRDefault="00025E5D">
    <w:pPr>
      <w:pStyle w:val="Encabezado"/>
    </w:pPr>
  </w:p>
  <w:p w:rsidR="00025E5D" w:rsidRDefault="00025E5D">
    <w:pPr>
      <w:pStyle w:val="Encabezado"/>
    </w:pPr>
  </w:p>
  <w:p w:rsidR="00025E5D" w:rsidRDefault="00025E5D">
    <w:pPr>
      <w:pStyle w:val="Encabezado"/>
    </w:pPr>
  </w:p>
  <w:p w:rsidR="00025E5D" w:rsidRDefault="00025E5D">
    <w:pPr>
      <w:pStyle w:val="Encabezado"/>
    </w:pPr>
  </w:p>
  <w:p w:rsidR="00025E5D" w:rsidRDefault="00025E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7FD"/>
    <w:multiLevelType w:val="hybridMultilevel"/>
    <w:tmpl w:val="226876B0"/>
    <w:lvl w:ilvl="0" w:tplc="6AE2E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055"/>
    <w:multiLevelType w:val="hybridMultilevel"/>
    <w:tmpl w:val="F3C0B010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072687"/>
    <w:multiLevelType w:val="hybridMultilevel"/>
    <w:tmpl w:val="45FAD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37403"/>
    <w:multiLevelType w:val="multilevel"/>
    <w:tmpl w:val="45FA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134C5"/>
    <w:multiLevelType w:val="hybridMultilevel"/>
    <w:tmpl w:val="6464A874"/>
    <w:lvl w:ilvl="0" w:tplc="EB2804B8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4203F"/>
    <w:multiLevelType w:val="multilevel"/>
    <w:tmpl w:val="77C8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938A6"/>
    <w:multiLevelType w:val="hybridMultilevel"/>
    <w:tmpl w:val="F6F6F00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D0553"/>
    <w:multiLevelType w:val="hybridMultilevel"/>
    <w:tmpl w:val="D278DBC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1F2D52"/>
    <w:rsid w:val="000054F4"/>
    <w:rsid w:val="000101DE"/>
    <w:rsid w:val="00025E5D"/>
    <w:rsid w:val="0003566C"/>
    <w:rsid w:val="00036434"/>
    <w:rsid w:val="0004758B"/>
    <w:rsid w:val="00053F32"/>
    <w:rsid w:val="00055CA9"/>
    <w:rsid w:val="00062554"/>
    <w:rsid w:val="00063D72"/>
    <w:rsid w:val="00064F38"/>
    <w:rsid w:val="0007717C"/>
    <w:rsid w:val="00080036"/>
    <w:rsid w:val="00080039"/>
    <w:rsid w:val="00091F8D"/>
    <w:rsid w:val="00092A43"/>
    <w:rsid w:val="000A053E"/>
    <w:rsid w:val="000A2E3E"/>
    <w:rsid w:val="000D3262"/>
    <w:rsid w:val="000D480F"/>
    <w:rsid w:val="00106718"/>
    <w:rsid w:val="00113D78"/>
    <w:rsid w:val="00120E5C"/>
    <w:rsid w:val="001217CD"/>
    <w:rsid w:val="00125C85"/>
    <w:rsid w:val="0012735E"/>
    <w:rsid w:val="001311EF"/>
    <w:rsid w:val="001421E8"/>
    <w:rsid w:val="00151DF8"/>
    <w:rsid w:val="0015243B"/>
    <w:rsid w:val="00163FF5"/>
    <w:rsid w:val="001752F1"/>
    <w:rsid w:val="00176664"/>
    <w:rsid w:val="0018294C"/>
    <w:rsid w:val="001855ED"/>
    <w:rsid w:val="00192C76"/>
    <w:rsid w:val="0019643E"/>
    <w:rsid w:val="001B0EF2"/>
    <w:rsid w:val="001B2805"/>
    <w:rsid w:val="001B5EDF"/>
    <w:rsid w:val="001C030A"/>
    <w:rsid w:val="001C4653"/>
    <w:rsid w:val="001C5D67"/>
    <w:rsid w:val="001E29BD"/>
    <w:rsid w:val="001F2D52"/>
    <w:rsid w:val="001F56F2"/>
    <w:rsid w:val="0021186D"/>
    <w:rsid w:val="00212723"/>
    <w:rsid w:val="00215622"/>
    <w:rsid w:val="00224551"/>
    <w:rsid w:val="00225357"/>
    <w:rsid w:val="0023579F"/>
    <w:rsid w:val="00262CD5"/>
    <w:rsid w:val="00263897"/>
    <w:rsid w:val="00276277"/>
    <w:rsid w:val="0028226D"/>
    <w:rsid w:val="002825F7"/>
    <w:rsid w:val="002834B6"/>
    <w:rsid w:val="00287382"/>
    <w:rsid w:val="002947AE"/>
    <w:rsid w:val="002A2C7A"/>
    <w:rsid w:val="002B748F"/>
    <w:rsid w:val="002C260F"/>
    <w:rsid w:val="002C3BBD"/>
    <w:rsid w:val="002C4C4F"/>
    <w:rsid w:val="002C7B40"/>
    <w:rsid w:val="002D26CF"/>
    <w:rsid w:val="002D64A2"/>
    <w:rsid w:val="002E703A"/>
    <w:rsid w:val="002F4EF3"/>
    <w:rsid w:val="00303BC4"/>
    <w:rsid w:val="00305F3C"/>
    <w:rsid w:val="003204AD"/>
    <w:rsid w:val="00322CEE"/>
    <w:rsid w:val="0032658A"/>
    <w:rsid w:val="00330872"/>
    <w:rsid w:val="00332FE8"/>
    <w:rsid w:val="003360C6"/>
    <w:rsid w:val="00342B41"/>
    <w:rsid w:val="00344D9D"/>
    <w:rsid w:val="003554A2"/>
    <w:rsid w:val="00364624"/>
    <w:rsid w:val="00370F1C"/>
    <w:rsid w:val="00374B5B"/>
    <w:rsid w:val="00375963"/>
    <w:rsid w:val="00377926"/>
    <w:rsid w:val="00380A01"/>
    <w:rsid w:val="00381371"/>
    <w:rsid w:val="00384A07"/>
    <w:rsid w:val="00385F16"/>
    <w:rsid w:val="003B5E8C"/>
    <w:rsid w:val="003B6CAA"/>
    <w:rsid w:val="003C01D9"/>
    <w:rsid w:val="003C0F15"/>
    <w:rsid w:val="003C24C0"/>
    <w:rsid w:val="003C3636"/>
    <w:rsid w:val="003C48DB"/>
    <w:rsid w:val="003F48AA"/>
    <w:rsid w:val="00400376"/>
    <w:rsid w:val="00400445"/>
    <w:rsid w:val="00417A42"/>
    <w:rsid w:val="00417D09"/>
    <w:rsid w:val="0042043C"/>
    <w:rsid w:val="00424A5A"/>
    <w:rsid w:val="00427EA7"/>
    <w:rsid w:val="004372E9"/>
    <w:rsid w:val="00437392"/>
    <w:rsid w:val="00456A8C"/>
    <w:rsid w:val="00460B50"/>
    <w:rsid w:val="00461964"/>
    <w:rsid w:val="00461F08"/>
    <w:rsid w:val="00472FB4"/>
    <w:rsid w:val="0047385F"/>
    <w:rsid w:val="00481C5F"/>
    <w:rsid w:val="00487127"/>
    <w:rsid w:val="004A1516"/>
    <w:rsid w:val="004A279B"/>
    <w:rsid w:val="004A2CBD"/>
    <w:rsid w:val="004A3AF3"/>
    <w:rsid w:val="004B43F1"/>
    <w:rsid w:val="004C7CE5"/>
    <w:rsid w:val="004D0690"/>
    <w:rsid w:val="004D63A3"/>
    <w:rsid w:val="00513B84"/>
    <w:rsid w:val="00535A3B"/>
    <w:rsid w:val="005428AB"/>
    <w:rsid w:val="00543151"/>
    <w:rsid w:val="00544315"/>
    <w:rsid w:val="0055260A"/>
    <w:rsid w:val="00572E40"/>
    <w:rsid w:val="00573772"/>
    <w:rsid w:val="00575559"/>
    <w:rsid w:val="00575CF0"/>
    <w:rsid w:val="005A61BB"/>
    <w:rsid w:val="005C7217"/>
    <w:rsid w:val="005D497C"/>
    <w:rsid w:val="005D4E0E"/>
    <w:rsid w:val="005E4055"/>
    <w:rsid w:val="005F2D2C"/>
    <w:rsid w:val="005F4AEE"/>
    <w:rsid w:val="00601EDC"/>
    <w:rsid w:val="00602FE3"/>
    <w:rsid w:val="006047DC"/>
    <w:rsid w:val="00607A03"/>
    <w:rsid w:val="0062199D"/>
    <w:rsid w:val="00623EC6"/>
    <w:rsid w:val="006271B3"/>
    <w:rsid w:val="00640BE9"/>
    <w:rsid w:val="00652025"/>
    <w:rsid w:val="00653A1E"/>
    <w:rsid w:val="00667DDA"/>
    <w:rsid w:val="00675244"/>
    <w:rsid w:val="00675377"/>
    <w:rsid w:val="00677C43"/>
    <w:rsid w:val="00681A26"/>
    <w:rsid w:val="006A65D1"/>
    <w:rsid w:val="006A669C"/>
    <w:rsid w:val="006A6A5B"/>
    <w:rsid w:val="006A7669"/>
    <w:rsid w:val="006C3B5E"/>
    <w:rsid w:val="006C3BB0"/>
    <w:rsid w:val="006C6A12"/>
    <w:rsid w:val="006D72DE"/>
    <w:rsid w:val="006E0065"/>
    <w:rsid w:val="006E0468"/>
    <w:rsid w:val="006E18CC"/>
    <w:rsid w:val="006E2F17"/>
    <w:rsid w:val="006E365F"/>
    <w:rsid w:val="00702CFB"/>
    <w:rsid w:val="00703553"/>
    <w:rsid w:val="007127C7"/>
    <w:rsid w:val="00717369"/>
    <w:rsid w:val="00730960"/>
    <w:rsid w:val="007450FD"/>
    <w:rsid w:val="00765AA4"/>
    <w:rsid w:val="007832FB"/>
    <w:rsid w:val="007951E7"/>
    <w:rsid w:val="00797B3F"/>
    <w:rsid w:val="00797EE2"/>
    <w:rsid w:val="007A05F5"/>
    <w:rsid w:val="007B6C52"/>
    <w:rsid w:val="007C222B"/>
    <w:rsid w:val="007C3663"/>
    <w:rsid w:val="007C6BAB"/>
    <w:rsid w:val="007D521E"/>
    <w:rsid w:val="007D6FA2"/>
    <w:rsid w:val="007E04A6"/>
    <w:rsid w:val="007E5FB8"/>
    <w:rsid w:val="007F1410"/>
    <w:rsid w:val="007F46A0"/>
    <w:rsid w:val="00801A13"/>
    <w:rsid w:val="00801E71"/>
    <w:rsid w:val="00810842"/>
    <w:rsid w:val="00813B58"/>
    <w:rsid w:val="0081450A"/>
    <w:rsid w:val="00814DC0"/>
    <w:rsid w:val="008156E9"/>
    <w:rsid w:val="0082570F"/>
    <w:rsid w:val="008266B0"/>
    <w:rsid w:val="008647B9"/>
    <w:rsid w:val="008765D9"/>
    <w:rsid w:val="008767B1"/>
    <w:rsid w:val="00877F9E"/>
    <w:rsid w:val="008815E1"/>
    <w:rsid w:val="00893BC0"/>
    <w:rsid w:val="008A1F29"/>
    <w:rsid w:val="008A28AA"/>
    <w:rsid w:val="008A3E74"/>
    <w:rsid w:val="008A4E7E"/>
    <w:rsid w:val="008A703C"/>
    <w:rsid w:val="008B0DEA"/>
    <w:rsid w:val="008B7369"/>
    <w:rsid w:val="008C28F8"/>
    <w:rsid w:val="008E0A3B"/>
    <w:rsid w:val="008E4D1B"/>
    <w:rsid w:val="008F0BDB"/>
    <w:rsid w:val="009060F3"/>
    <w:rsid w:val="0091314F"/>
    <w:rsid w:val="00914298"/>
    <w:rsid w:val="00914C86"/>
    <w:rsid w:val="00916DCC"/>
    <w:rsid w:val="009271EB"/>
    <w:rsid w:val="00927959"/>
    <w:rsid w:val="009402D7"/>
    <w:rsid w:val="00952809"/>
    <w:rsid w:val="00972B09"/>
    <w:rsid w:val="00987344"/>
    <w:rsid w:val="009A2940"/>
    <w:rsid w:val="009B7550"/>
    <w:rsid w:val="009E1548"/>
    <w:rsid w:val="009F33BC"/>
    <w:rsid w:val="009F53ED"/>
    <w:rsid w:val="00A10E7A"/>
    <w:rsid w:val="00A11ABA"/>
    <w:rsid w:val="00A13031"/>
    <w:rsid w:val="00A165DA"/>
    <w:rsid w:val="00A17457"/>
    <w:rsid w:val="00A22E06"/>
    <w:rsid w:val="00A23452"/>
    <w:rsid w:val="00A23697"/>
    <w:rsid w:val="00A26888"/>
    <w:rsid w:val="00A3499B"/>
    <w:rsid w:val="00A373CC"/>
    <w:rsid w:val="00A37FEB"/>
    <w:rsid w:val="00A413D9"/>
    <w:rsid w:val="00A446D2"/>
    <w:rsid w:val="00A4630A"/>
    <w:rsid w:val="00A561DE"/>
    <w:rsid w:val="00A6440F"/>
    <w:rsid w:val="00A77CB1"/>
    <w:rsid w:val="00A8792C"/>
    <w:rsid w:val="00A9310D"/>
    <w:rsid w:val="00A95EC2"/>
    <w:rsid w:val="00AB3FB0"/>
    <w:rsid w:val="00AC17AD"/>
    <w:rsid w:val="00AC1F6F"/>
    <w:rsid w:val="00AC50EF"/>
    <w:rsid w:val="00AC7A12"/>
    <w:rsid w:val="00AE08C2"/>
    <w:rsid w:val="00AE099F"/>
    <w:rsid w:val="00AE7788"/>
    <w:rsid w:val="00AF3A74"/>
    <w:rsid w:val="00AF4E2E"/>
    <w:rsid w:val="00B05A66"/>
    <w:rsid w:val="00B1150F"/>
    <w:rsid w:val="00B11E45"/>
    <w:rsid w:val="00B1436E"/>
    <w:rsid w:val="00B207C5"/>
    <w:rsid w:val="00B20A99"/>
    <w:rsid w:val="00B23B53"/>
    <w:rsid w:val="00B24C26"/>
    <w:rsid w:val="00B27A94"/>
    <w:rsid w:val="00B320CD"/>
    <w:rsid w:val="00B46418"/>
    <w:rsid w:val="00B47CF5"/>
    <w:rsid w:val="00B60AE6"/>
    <w:rsid w:val="00B655FD"/>
    <w:rsid w:val="00B70308"/>
    <w:rsid w:val="00B720A9"/>
    <w:rsid w:val="00B76D0E"/>
    <w:rsid w:val="00B774AC"/>
    <w:rsid w:val="00B802FC"/>
    <w:rsid w:val="00B84E2C"/>
    <w:rsid w:val="00B87462"/>
    <w:rsid w:val="00B90968"/>
    <w:rsid w:val="00B94058"/>
    <w:rsid w:val="00BA0544"/>
    <w:rsid w:val="00BB2761"/>
    <w:rsid w:val="00BC7A1C"/>
    <w:rsid w:val="00BD33F9"/>
    <w:rsid w:val="00BD3533"/>
    <w:rsid w:val="00C07E8C"/>
    <w:rsid w:val="00C139D6"/>
    <w:rsid w:val="00C22328"/>
    <w:rsid w:val="00C22B4E"/>
    <w:rsid w:val="00C26146"/>
    <w:rsid w:val="00C44B6B"/>
    <w:rsid w:val="00C44DAB"/>
    <w:rsid w:val="00C456F8"/>
    <w:rsid w:val="00C50D8D"/>
    <w:rsid w:val="00C652AC"/>
    <w:rsid w:val="00C669D0"/>
    <w:rsid w:val="00C8579B"/>
    <w:rsid w:val="00C91BA1"/>
    <w:rsid w:val="00C94036"/>
    <w:rsid w:val="00C94C72"/>
    <w:rsid w:val="00C952D8"/>
    <w:rsid w:val="00C9550B"/>
    <w:rsid w:val="00C9686A"/>
    <w:rsid w:val="00CA2902"/>
    <w:rsid w:val="00CA58CA"/>
    <w:rsid w:val="00CB0D07"/>
    <w:rsid w:val="00CD214D"/>
    <w:rsid w:val="00CD24D9"/>
    <w:rsid w:val="00D17B0D"/>
    <w:rsid w:val="00D20733"/>
    <w:rsid w:val="00D34904"/>
    <w:rsid w:val="00D40519"/>
    <w:rsid w:val="00D42271"/>
    <w:rsid w:val="00D43E51"/>
    <w:rsid w:val="00D4572F"/>
    <w:rsid w:val="00D461C3"/>
    <w:rsid w:val="00D51D64"/>
    <w:rsid w:val="00D5434A"/>
    <w:rsid w:val="00D86B37"/>
    <w:rsid w:val="00D94206"/>
    <w:rsid w:val="00DA5845"/>
    <w:rsid w:val="00DA6392"/>
    <w:rsid w:val="00DB5E31"/>
    <w:rsid w:val="00DC31BE"/>
    <w:rsid w:val="00DD1178"/>
    <w:rsid w:val="00DE3DBA"/>
    <w:rsid w:val="00E10AC0"/>
    <w:rsid w:val="00E11A0D"/>
    <w:rsid w:val="00E165D7"/>
    <w:rsid w:val="00E218FE"/>
    <w:rsid w:val="00E22669"/>
    <w:rsid w:val="00E30789"/>
    <w:rsid w:val="00E318FE"/>
    <w:rsid w:val="00E43E10"/>
    <w:rsid w:val="00E44A8B"/>
    <w:rsid w:val="00E504A1"/>
    <w:rsid w:val="00E54912"/>
    <w:rsid w:val="00E60887"/>
    <w:rsid w:val="00E60F97"/>
    <w:rsid w:val="00E62AB7"/>
    <w:rsid w:val="00E6554F"/>
    <w:rsid w:val="00E727FD"/>
    <w:rsid w:val="00E81780"/>
    <w:rsid w:val="00E817A6"/>
    <w:rsid w:val="00E81E73"/>
    <w:rsid w:val="00E8228D"/>
    <w:rsid w:val="00E92F8B"/>
    <w:rsid w:val="00EA6A67"/>
    <w:rsid w:val="00EA7DC7"/>
    <w:rsid w:val="00EB21EF"/>
    <w:rsid w:val="00EB37E1"/>
    <w:rsid w:val="00EC585E"/>
    <w:rsid w:val="00EC66C1"/>
    <w:rsid w:val="00EC740D"/>
    <w:rsid w:val="00ED261D"/>
    <w:rsid w:val="00ED7162"/>
    <w:rsid w:val="00EF133C"/>
    <w:rsid w:val="00F2624B"/>
    <w:rsid w:val="00F2626B"/>
    <w:rsid w:val="00F314E8"/>
    <w:rsid w:val="00F32D94"/>
    <w:rsid w:val="00F34040"/>
    <w:rsid w:val="00F341FB"/>
    <w:rsid w:val="00F368AD"/>
    <w:rsid w:val="00F45033"/>
    <w:rsid w:val="00F474AC"/>
    <w:rsid w:val="00F51EA1"/>
    <w:rsid w:val="00F51EBD"/>
    <w:rsid w:val="00F67D79"/>
    <w:rsid w:val="00F7083E"/>
    <w:rsid w:val="00F71595"/>
    <w:rsid w:val="00F722A9"/>
    <w:rsid w:val="00F733E8"/>
    <w:rsid w:val="00F75252"/>
    <w:rsid w:val="00F8241D"/>
    <w:rsid w:val="00F85BE5"/>
    <w:rsid w:val="00FA2E0C"/>
    <w:rsid w:val="00FA55BF"/>
    <w:rsid w:val="00FA6F43"/>
    <w:rsid w:val="00FC66FC"/>
    <w:rsid w:val="00FE017D"/>
    <w:rsid w:val="00FF43E9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09"/>
    <w:pPr>
      <w:spacing w:after="200" w:line="276" w:lineRule="auto"/>
    </w:pPr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F2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rsid w:val="00106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671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06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0671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0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67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F53ED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7B6C5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B6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D7162"/>
    <w:rPr>
      <w:rFonts w:cs="Times New Roman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B6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D7162"/>
    <w:rPr>
      <w:b/>
      <w:bCs/>
    </w:rPr>
  </w:style>
  <w:style w:type="paragraph" w:styleId="Revisin">
    <w:name w:val="Revision"/>
    <w:hidden/>
    <w:uiPriority w:val="99"/>
    <w:semiHidden/>
    <w:rsid w:val="006C3BB0"/>
    <w:rPr>
      <w:lang w:val="es-GT"/>
    </w:rPr>
  </w:style>
  <w:style w:type="table" w:styleId="Sombreadoclaro-nfasis5">
    <w:name w:val="Light Shading Accent 5"/>
    <w:basedOn w:val="Tablanormal"/>
    <w:uiPriority w:val="99"/>
    <w:rsid w:val="00B24C26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edia2-nfasis1">
    <w:name w:val="Medium List 2 Accent 1"/>
    <w:basedOn w:val="Tablanormal"/>
    <w:uiPriority w:val="99"/>
    <w:rsid w:val="00B24C26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stamedia1-nfasis11">
    <w:name w:val="Lista media 1 - Énfasis 11"/>
    <w:uiPriority w:val="99"/>
    <w:rsid w:val="00B24C2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C94C7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99"/>
    <w:rsid w:val="00C9550B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Textoennegrita">
    <w:name w:val="Strong"/>
    <w:basedOn w:val="Fuentedeprrafopredeter"/>
    <w:uiPriority w:val="99"/>
    <w:qFormat/>
    <w:locked/>
    <w:rsid w:val="00F474A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F474AC"/>
    <w:rPr>
      <w:rFonts w:cs="Times New Roman"/>
    </w:rPr>
  </w:style>
  <w:style w:type="character" w:styleId="nfasis">
    <w:name w:val="Emphasis"/>
    <w:basedOn w:val="Fuentedeprrafopredeter"/>
    <w:uiPriority w:val="20"/>
    <w:qFormat/>
    <w:locked/>
    <w:rsid w:val="00F474AC"/>
    <w:rPr>
      <w:rFonts w:cs="Times New Roman"/>
      <w:i/>
      <w:iCs/>
    </w:rPr>
  </w:style>
  <w:style w:type="table" w:styleId="Tablaconcuadrcula">
    <w:name w:val="Table Grid"/>
    <w:basedOn w:val="Tablanormal"/>
    <w:uiPriority w:val="99"/>
    <w:locked/>
    <w:rsid w:val="00385F1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B802FC"/>
    <w:rPr>
      <w:rFonts w:cs="Times New Roman"/>
    </w:rPr>
  </w:style>
  <w:style w:type="paragraph" w:styleId="Sinespaciado">
    <w:name w:val="No Spacing"/>
    <w:uiPriority w:val="1"/>
    <w:qFormat/>
    <w:rsid w:val="002947AE"/>
    <w:rPr>
      <w:lang w:val="es-GT"/>
    </w:rPr>
  </w:style>
  <w:style w:type="paragraph" w:styleId="Prrafodelista">
    <w:name w:val="List Paragraph"/>
    <w:basedOn w:val="Normal"/>
    <w:uiPriority w:val="34"/>
    <w:qFormat/>
    <w:rsid w:val="00D51D64"/>
    <w:pPr>
      <w:ind w:left="720"/>
      <w:contextualSpacing/>
    </w:pPr>
  </w:style>
  <w:style w:type="character" w:customStyle="1" w:styleId="st">
    <w:name w:val="st"/>
    <w:basedOn w:val="Fuentedeprrafopredeter"/>
    <w:rsid w:val="00276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i.soto@guatefutur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se.mansill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2946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Nueve guatemaltecos estudiarán en las universidades más prestigiosas del mundo como beneficiarios del programa de Crédito-beca de GuateFuturo</vt:lpstr>
    </vt:vector>
  </TitlesOfParts>
  <Company>Hill &amp; Knowlton</Company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Nueve guatemaltecos estudiarán en las universidades más prestigiosas del mundo como beneficiarios del programa de Crédito-beca de GuateFuturo</dc:title>
  <dc:creator>Admg</dc:creator>
  <cp:lastModifiedBy>Windows XP Sp3 Relax Edition</cp:lastModifiedBy>
  <cp:revision>2</cp:revision>
  <cp:lastPrinted>2013-07-30T14:56:00Z</cp:lastPrinted>
  <dcterms:created xsi:type="dcterms:W3CDTF">2013-08-01T02:03:00Z</dcterms:created>
  <dcterms:modified xsi:type="dcterms:W3CDTF">2013-08-01T02:03:00Z</dcterms:modified>
</cp:coreProperties>
</file>